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561AA9" w14:paraId="2F7DC0AA" w14:textId="77777777" w:rsidTr="00AD33A8">
        <w:trPr>
          <w:trHeight w:val="282"/>
        </w:trPr>
        <w:tc>
          <w:tcPr>
            <w:tcW w:w="500" w:type="dxa"/>
            <w:vMerge w:val="restart"/>
            <w:tcBorders>
              <w:bottom w:val="nil"/>
            </w:tcBorders>
            <w:textDirection w:val="btLr"/>
          </w:tcPr>
          <w:p w14:paraId="121107AF" w14:textId="77777777" w:rsidR="00041727" w:rsidRPr="00561AA9"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 w:eastAsia="zh-CN"/>
              </w:rPr>
            </w:pPr>
            <w:r w:rsidRPr="00561AA9">
              <w:rPr>
                <w:color w:val="365F91" w:themeColor="accent1" w:themeShade="BF"/>
                <w:sz w:val="10"/>
                <w:szCs w:val="10"/>
                <w:lang w:val="es-ES" w:eastAsia="zh-CN"/>
              </w:rPr>
              <w:t>TIEMPO</w:t>
            </w:r>
            <w:r w:rsidR="00041727" w:rsidRPr="00561AA9">
              <w:rPr>
                <w:color w:val="365F91" w:themeColor="accent1" w:themeShade="BF"/>
                <w:sz w:val="10"/>
                <w:szCs w:val="10"/>
                <w:lang w:val="es-ES" w:eastAsia="zh-CN"/>
              </w:rPr>
              <w:t xml:space="preserve"> CLIMA </w:t>
            </w:r>
            <w:r w:rsidRPr="00561AA9">
              <w:rPr>
                <w:color w:val="365F91" w:themeColor="accent1" w:themeShade="BF"/>
                <w:sz w:val="10"/>
                <w:szCs w:val="10"/>
                <w:lang w:val="es-ES" w:eastAsia="zh-CN"/>
              </w:rPr>
              <w:t>AGUA</w:t>
            </w:r>
          </w:p>
        </w:tc>
        <w:tc>
          <w:tcPr>
            <w:tcW w:w="6852" w:type="dxa"/>
            <w:vMerge w:val="restart"/>
          </w:tcPr>
          <w:p w14:paraId="32606EFC" w14:textId="77777777" w:rsidR="00041727" w:rsidRPr="00561AA9" w:rsidRDefault="00041727" w:rsidP="00993581">
            <w:pPr>
              <w:tabs>
                <w:tab w:val="left" w:pos="6946"/>
              </w:tabs>
              <w:suppressAutoHyphens/>
              <w:spacing w:after="120" w:line="252" w:lineRule="auto"/>
              <w:ind w:left="1134"/>
              <w:jc w:val="left"/>
              <w:rPr>
                <w:rStyle w:val="StyleComplex11ptBoldAccent1"/>
                <w:lang w:val="es-ES"/>
              </w:rPr>
            </w:pPr>
            <w:r w:rsidRPr="00561AA9">
              <w:rPr>
                <w:noProof/>
                <w:color w:val="365F91" w:themeColor="accent1" w:themeShade="BF"/>
                <w:szCs w:val="22"/>
                <w:lang w:val="es-ES" w:eastAsia="zh-CN"/>
              </w:rPr>
              <w:drawing>
                <wp:anchor distT="0" distB="0" distL="114300" distR="114300" simplePos="0" relativeHeight="251664896" behindDoc="1" locked="1" layoutInCell="1" allowOverlap="1" wp14:anchorId="2555F735" wp14:editId="6DF9680B">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25" w:rsidRPr="00561AA9">
              <w:rPr>
                <w:rStyle w:val="StyleComplex11ptBoldAccent1"/>
                <w:lang w:val="es-ES"/>
              </w:rPr>
              <w:t>Organización Meteorológica Mundial</w:t>
            </w:r>
          </w:p>
          <w:p w14:paraId="388E8C0B" w14:textId="77777777" w:rsidR="00041727" w:rsidRPr="00561AA9"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
              </w:rPr>
            </w:pPr>
            <w:r w:rsidRPr="00561AA9">
              <w:rPr>
                <w:rFonts w:cs="Tahoma"/>
                <w:b/>
                <w:color w:val="365F91" w:themeColor="accent1" w:themeShade="BF"/>
                <w:spacing w:val="-2"/>
                <w:szCs w:val="22"/>
                <w:lang w:val="es-ES"/>
              </w:rPr>
              <w:t>CONSEJO EJECUTIVO</w:t>
            </w:r>
          </w:p>
          <w:p w14:paraId="4F9F5B4F" w14:textId="77777777" w:rsidR="00041727" w:rsidRPr="00561AA9" w:rsidRDefault="00527225" w:rsidP="00993581">
            <w:pPr>
              <w:tabs>
                <w:tab w:val="left" w:pos="6946"/>
              </w:tabs>
              <w:suppressAutoHyphens/>
              <w:spacing w:after="120" w:line="252" w:lineRule="auto"/>
              <w:ind w:left="1134"/>
              <w:jc w:val="left"/>
              <w:rPr>
                <w:rFonts w:cs="Tahoma"/>
                <w:b/>
                <w:bCs/>
                <w:color w:val="365F91" w:themeColor="accent1" w:themeShade="BF"/>
                <w:szCs w:val="22"/>
                <w:lang w:val="es-ES"/>
              </w:rPr>
            </w:pPr>
            <w:r w:rsidRPr="00561AA9">
              <w:rPr>
                <w:rFonts w:cstheme="minorBidi"/>
                <w:b/>
                <w:snapToGrid w:val="0"/>
                <w:color w:val="365F91" w:themeColor="accent1" w:themeShade="BF"/>
                <w:szCs w:val="22"/>
                <w:lang w:val="es-ES"/>
              </w:rPr>
              <w:t xml:space="preserve">Septuagésima </w:t>
            </w:r>
            <w:r w:rsidR="00581CFE" w:rsidRPr="00561AA9">
              <w:rPr>
                <w:rFonts w:cstheme="minorBidi"/>
                <w:b/>
                <w:snapToGrid w:val="0"/>
                <w:color w:val="365F91" w:themeColor="accent1" w:themeShade="BF"/>
                <w:szCs w:val="22"/>
                <w:lang w:val="es-ES"/>
              </w:rPr>
              <w:t>sexta</w:t>
            </w:r>
            <w:r w:rsidRPr="00561AA9">
              <w:rPr>
                <w:rFonts w:cstheme="minorBidi"/>
                <w:b/>
                <w:snapToGrid w:val="0"/>
                <w:color w:val="365F91" w:themeColor="accent1" w:themeShade="BF"/>
                <w:szCs w:val="22"/>
                <w:lang w:val="es-ES"/>
              </w:rPr>
              <w:t xml:space="preserve"> reunión</w:t>
            </w:r>
            <w:r w:rsidR="00041727" w:rsidRPr="00561AA9">
              <w:rPr>
                <w:rFonts w:cstheme="minorBidi"/>
                <w:b/>
                <w:snapToGrid w:val="0"/>
                <w:color w:val="365F91" w:themeColor="accent1" w:themeShade="BF"/>
                <w:szCs w:val="22"/>
                <w:lang w:val="es-ES"/>
              </w:rPr>
              <w:br/>
            </w:r>
            <w:r w:rsidR="00447D93" w:rsidRPr="00561AA9">
              <w:rPr>
                <w:snapToGrid w:val="0"/>
                <w:color w:val="365F91" w:themeColor="accent1" w:themeShade="BF"/>
                <w:szCs w:val="22"/>
                <w:lang w:val="es-ES"/>
              </w:rPr>
              <w:t xml:space="preserve">Ginebra, </w:t>
            </w:r>
            <w:r w:rsidR="00DA4CFF" w:rsidRPr="00561AA9">
              <w:rPr>
                <w:snapToGrid w:val="0"/>
                <w:color w:val="365F91" w:themeColor="accent1" w:themeShade="BF"/>
                <w:szCs w:val="22"/>
                <w:lang w:val="es-ES"/>
              </w:rPr>
              <w:t>2</w:t>
            </w:r>
            <w:r w:rsidR="00581CFE" w:rsidRPr="00561AA9">
              <w:rPr>
                <w:snapToGrid w:val="0"/>
                <w:color w:val="365F91" w:themeColor="accent1" w:themeShade="BF"/>
                <w:szCs w:val="22"/>
                <w:lang w:val="es-ES"/>
              </w:rPr>
              <w:t>7 de febrero</w:t>
            </w:r>
            <w:r w:rsidR="00A41E35" w:rsidRPr="00561AA9">
              <w:rPr>
                <w:snapToGrid w:val="0"/>
                <w:color w:val="365F91" w:themeColor="accent1" w:themeShade="BF"/>
                <w:szCs w:val="22"/>
                <w:lang w:val="es-ES"/>
              </w:rPr>
              <w:t xml:space="preserve"> </w:t>
            </w:r>
            <w:r w:rsidRPr="00561AA9">
              <w:rPr>
                <w:snapToGrid w:val="0"/>
                <w:color w:val="365F91" w:themeColor="accent1" w:themeShade="BF"/>
                <w:szCs w:val="22"/>
                <w:lang w:val="es-ES"/>
              </w:rPr>
              <w:t>a</w:t>
            </w:r>
            <w:r w:rsidR="00A41E35" w:rsidRPr="00561AA9">
              <w:rPr>
                <w:snapToGrid w:val="0"/>
                <w:color w:val="365F91" w:themeColor="accent1" w:themeShade="BF"/>
                <w:szCs w:val="22"/>
                <w:lang w:val="es-ES"/>
              </w:rPr>
              <w:t xml:space="preserve"> </w:t>
            </w:r>
            <w:r w:rsidR="00581CFE" w:rsidRPr="00561AA9">
              <w:rPr>
                <w:snapToGrid w:val="0"/>
                <w:color w:val="365F91" w:themeColor="accent1" w:themeShade="BF"/>
                <w:szCs w:val="22"/>
                <w:lang w:val="es-ES"/>
              </w:rPr>
              <w:t>3</w:t>
            </w:r>
            <w:r w:rsidR="00A41E35" w:rsidRPr="00561AA9">
              <w:rPr>
                <w:snapToGrid w:val="0"/>
                <w:color w:val="365F91" w:themeColor="accent1" w:themeShade="BF"/>
                <w:szCs w:val="22"/>
                <w:lang w:val="es-ES"/>
              </w:rPr>
              <w:t xml:space="preserve"> </w:t>
            </w:r>
            <w:r w:rsidRPr="00561AA9">
              <w:rPr>
                <w:snapToGrid w:val="0"/>
                <w:color w:val="365F91" w:themeColor="accent1" w:themeShade="BF"/>
                <w:szCs w:val="22"/>
                <w:lang w:val="es-ES"/>
              </w:rPr>
              <w:t xml:space="preserve">de </w:t>
            </w:r>
            <w:r w:rsidR="00581CFE" w:rsidRPr="00561AA9">
              <w:rPr>
                <w:snapToGrid w:val="0"/>
                <w:color w:val="365F91" w:themeColor="accent1" w:themeShade="BF"/>
                <w:szCs w:val="22"/>
                <w:lang w:val="es-ES"/>
              </w:rPr>
              <w:t xml:space="preserve">marzo </w:t>
            </w:r>
            <w:r w:rsidRPr="00561AA9">
              <w:rPr>
                <w:snapToGrid w:val="0"/>
                <w:color w:val="365F91" w:themeColor="accent1" w:themeShade="BF"/>
                <w:szCs w:val="22"/>
                <w:lang w:val="es-ES"/>
              </w:rPr>
              <w:t>de</w:t>
            </w:r>
            <w:r w:rsidR="00A41E35" w:rsidRPr="00561AA9">
              <w:rPr>
                <w:snapToGrid w:val="0"/>
                <w:color w:val="365F91" w:themeColor="accent1" w:themeShade="BF"/>
                <w:szCs w:val="22"/>
                <w:lang w:val="es-ES"/>
              </w:rPr>
              <w:t xml:space="preserve"> 202</w:t>
            </w:r>
            <w:r w:rsidR="00581CFE" w:rsidRPr="00561AA9">
              <w:rPr>
                <w:snapToGrid w:val="0"/>
                <w:color w:val="365F91" w:themeColor="accent1" w:themeShade="BF"/>
                <w:szCs w:val="22"/>
                <w:lang w:val="es-ES"/>
              </w:rPr>
              <w:t>3</w:t>
            </w:r>
          </w:p>
        </w:tc>
        <w:tc>
          <w:tcPr>
            <w:tcW w:w="2962" w:type="dxa"/>
          </w:tcPr>
          <w:p w14:paraId="2F7ED352" w14:textId="080252F7" w:rsidR="00041727" w:rsidRPr="00561AA9" w:rsidRDefault="0024027B" w:rsidP="00F61675">
            <w:pPr>
              <w:tabs>
                <w:tab w:val="clear" w:pos="1134"/>
              </w:tabs>
              <w:spacing w:after="60"/>
              <w:ind w:right="-108"/>
              <w:jc w:val="right"/>
              <w:rPr>
                <w:rFonts w:cs="Tahoma"/>
                <w:b/>
                <w:bCs/>
                <w:color w:val="365F91" w:themeColor="accent1" w:themeShade="BF"/>
                <w:szCs w:val="22"/>
                <w:lang w:val="es-ES"/>
              </w:rPr>
            </w:pPr>
            <w:r w:rsidRPr="00561AA9">
              <w:rPr>
                <w:rFonts w:cs="Tahoma"/>
                <w:b/>
                <w:bCs/>
                <w:color w:val="365F91" w:themeColor="accent1" w:themeShade="BF"/>
                <w:szCs w:val="22"/>
                <w:lang w:val="es-ES"/>
              </w:rPr>
              <w:t>EC-7</w:t>
            </w:r>
            <w:r w:rsidR="00581CFE" w:rsidRPr="00561AA9">
              <w:rPr>
                <w:rFonts w:cs="Tahoma"/>
                <w:b/>
                <w:bCs/>
                <w:color w:val="365F91" w:themeColor="accent1" w:themeShade="BF"/>
                <w:szCs w:val="22"/>
                <w:lang w:val="es-ES"/>
              </w:rPr>
              <w:t>6</w:t>
            </w:r>
            <w:r w:rsidR="00A41E35" w:rsidRPr="00561AA9">
              <w:rPr>
                <w:rFonts w:cs="Tahoma"/>
                <w:b/>
                <w:bCs/>
                <w:color w:val="365F91" w:themeColor="accent1" w:themeShade="BF"/>
                <w:szCs w:val="22"/>
                <w:lang w:val="es-ES"/>
              </w:rPr>
              <w:t xml:space="preserve">/Doc. </w:t>
            </w:r>
            <w:r w:rsidR="00F05B91" w:rsidRPr="00561AA9">
              <w:rPr>
                <w:rFonts w:cs="Tahoma"/>
                <w:b/>
                <w:bCs/>
                <w:color w:val="365F91" w:themeColor="accent1" w:themeShade="BF"/>
                <w:szCs w:val="22"/>
                <w:lang w:val="es-ES"/>
              </w:rPr>
              <w:t xml:space="preserve">3.1(16) </w:t>
            </w:r>
          </w:p>
        </w:tc>
      </w:tr>
      <w:tr w:rsidR="00041727" w:rsidRPr="00561AA9" w14:paraId="239BCD6D" w14:textId="77777777" w:rsidTr="00AD33A8">
        <w:trPr>
          <w:trHeight w:val="730"/>
        </w:trPr>
        <w:tc>
          <w:tcPr>
            <w:tcW w:w="500" w:type="dxa"/>
            <w:vMerge/>
            <w:tcBorders>
              <w:bottom w:val="nil"/>
            </w:tcBorders>
          </w:tcPr>
          <w:p w14:paraId="0655055D" w14:textId="77777777" w:rsidR="00041727" w:rsidRPr="00561AA9"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6852" w:type="dxa"/>
            <w:vMerge/>
          </w:tcPr>
          <w:p w14:paraId="06BB7ED4" w14:textId="77777777" w:rsidR="00041727" w:rsidRPr="00561AA9"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2962" w:type="dxa"/>
          </w:tcPr>
          <w:p w14:paraId="61FD4DC6" w14:textId="455C2A29" w:rsidR="00041727" w:rsidRPr="00561AA9" w:rsidRDefault="00527225" w:rsidP="00527225">
            <w:pPr>
              <w:pStyle w:val="StyleComplexTahomaComplex11ptAccent1RightAfter-"/>
              <w:rPr>
                <w:lang w:val="es-ES"/>
              </w:rPr>
            </w:pPr>
            <w:r w:rsidRPr="00561AA9">
              <w:rPr>
                <w:lang w:val="es-ES"/>
              </w:rPr>
              <w:t>Presentado por</w:t>
            </w:r>
            <w:r w:rsidR="00041727" w:rsidRPr="00561AA9">
              <w:rPr>
                <w:lang w:val="es-ES"/>
              </w:rPr>
              <w:t>:</w:t>
            </w:r>
            <w:r w:rsidR="00041727" w:rsidRPr="00561AA9">
              <w:rPr>
                <w:lang w:val="es-ES"/>
              </w:rPr>
              <w:br/>
            </w:r>
            <w:r w:rsidR="00F05B91" w:rsidRPr="00561AA9">
              <w:rPr>
                <w:bCs/>
                <w:color w:val="365F91"/>
                <w:lang w:val="es-ES"/>
              </w:rPr>
              <w:t>presidente de la SERCOM</w:t>
            </w:r>
          </w:p>
          <w:p w14:paraId="4D9D9F10" w14:textId="64B6A2D7" w:rsidR="00041727" w:rsidRPr="00561AA9" w:rsidRDefault="00F05B91" w:rsidP="00527225">
            <w:pPr>
              <w:pStyle w:val="StyleComplexTahomaComplex11ptAccent1RightAfter-"/>
              <w:rPr>
                <w:lang w:val="es-ES"/>
              </w:rPr>
            </w:pPr>
            <w:r w:rsidRPr="00561AA9">
              <w:rPr>
                <w:bCs/>
                <w:color w:val="365F91"/>
                <w:lang w:val="es-ES"/>
              </w:rPr>
              <w:t>19</w:t>
            </w:r>
            <w:r w:rsidR="00527225" w:rsidRPr="00561AA9">
              <w:rPr>
                <w:lang w:val="es-ES"/>
              </w:rPr>
              <w:t>.</w:t>
            </w:r>
            <w:r w:rsidRPr="00561AA9">
              <w:rPr>
                <w:lang w:val="es-ES"/>
              </w:rPr>
              <w:t>XII</w:t>
            </w:r>
            <w:r w:rsidR="00A41E35" w:rsidRPr="00561AA9">
              <w:rPr>
                <w:lang w:val="es-ES"/>
              </w:rPr>
              <w:t>.202</w:t>
            </w:r>
            <w:r w:rsidR="00581CFE" w:rsidRPr="00561AA9">
              <w:rPr>
                <w:lang w:val="es-ES"/>
              </w:rPr>
              <w:t>2</w:t>
            </w:r>
          </w:p>
          <w:p w14:paraId="32EC0580" w14:textId="77777777" w:rsidR="00041727" w:rsidRPr="00561AA9" w:rsidRDefault="00CF40BF" w:rsidP="002F6DAC">
            <w:pPr>
              <w:tabs>
                <w:tab w:val="clear" w:pos="1134"/>
              </w:tabs>
              <w:spacing w:before="120" w:after="60"/>
              <w:ind w:right="-108"/>
              <w:jc w:val="right"/>
              <w:rPr>
                <w:rFonts w:cs="Tahoma"/>
                <w:b/>
                <w:bCs/>
                <w:color w:val="365F91" w:themeColor="accent1" w:themeShade="BF"/>
                <w:szCs w:val="22"/>
                <w:lang w:val="es-ES"/>
              </w:rPr>
            </w:pPr>
            <w:r w:rsidRPr="00561AA9">
              <w:rPr>
                <w:rFonts w:cs="Tahoma"/>
                <w:b/>
                <w:bCs/>
                <w:color w:val="365F91" w:themeColor="accent1" w:themeShade="BF"/>
                <w:szCs w:val="22"/>
                <w:lang w:val="es-ES"/>
              </w:rPr>
              <w:t>VERSIÓN 1</w:t>
            </w:r>
          </w:p>
        </w:tc>
      </w:tr>
    </w:tbl>
    <w:p w14:paraId="2B24A4D7" w14:textId="587961E1" w:rsidR="00C4470F" w:rsidRPr="00561AA9" w:rsidRDefault="001527A3" w:rsidP="00514EAC">
      <w:pPr>
        <w:pStyle w:val="WMOBodyText"/>
        <w:ind w:left="3969" w:hanging="3969"/>
        <w:rPr>
          <w:b/>
          <w:lang w:val="es-ES"/>
        </w:rPr>
      </w:pPr>
      <w:r w:rsidRPr="00561AA9">
        <w:rPr>
          <w:b/>
          <w:lang w:val="es-ES"/>
        </w:rPr>
        <w:t xml:space="preserve">PUNTO </w:t>
      </w:r>
      <w:r w:rsidR="00F05B91" w:rsidRPr="00561AA9">
        <w:rPr>
          <w:b/>
          <w:lang w:val="es-ES"/>
        </w:rPr>
        <w:t>3</w:t>
      </w:r>
      <w:r w:rsidRPr="00561AA9">
        <w:rPr>
          <w:b/>
          <w:lang w:val="es-ES"/>
        </w:rPr>
        <w:t xml:space="preserve"> DEL ORDEN DEL DÍA:</w:t>
      </w:r>
      <w:r w:rsidR="00A41E35" w:rsidRPr="00561AA9">
        <w:rPr>
          <w:b/>
          <w:lang w:val="es-ES"/>
        </w:rPr>
        <w:tab/>
      </w:r>
      <w:r w:rsidR="00F05B91" w:rsidRPr="00561AA9">
        <w:rPr>
          <w:b/>
          <w:bCs/>
          <w:lang w:val="es-ES"/>
        </w:rPr>
        <w:t xml:space="preserve">APLICACIÓN DE LAS DECISIONES </w:t>
      </w:r>
      <w:r w:rsidR="00F05B91" w:rsidRPr="00561AA9">
        <w:rPr>
          <w:b/>
          <w:bCs/>
          <w:lang w:val="es-ES"/>
        </w:rPr>
        <w:br/>
        <w:t>DEL CONGRESO: CUESTIONES TÉCNICAS</w:t>
      </w:r>
    </w:p>
    <w:p w14:paraId="37D4A891" w14:textId="5E4C3BDF" w:rsidR="001527A3" w:rsidRPr="00561AA9" w:rsidRDefault="001527A3" w:rsidP="001527A3">
      <w:pPr>
        <w:pStyle w:val="WMOBodyText"/>
        <w:ind w:left="3969" w:hanging="3969"/>
        <w:rPr>
          <w:b/>
          <w:lang w:val="es-ES"/>
        </w:rPr>
      </w:pPr>
      <w:r w:rsidRPr="00561AA9">
        <w:rPr>
          <w:b/>
          <w:lang w:val="es-ES"/>
        </w:rPr>
        <w:t xml:space="preserve">PUNTO </w:t>
      </w:r>
      <w:r w:rsidR="00F05B91" w:rsidRPr="00561AA9">
        <w:rPr>
          <w:b/>
          <w:lang w:val="es-ES"/>
        </w:rPr>
        <w:t>3.1</w:t>
      </w:r>
      <w:r w:rsidRPr="00561AA9">
        <w:rPr>
          <w:b/>
          <w:lang w:val="es-ES"/>
        </w:rPr>
        <w:t>:</w:t>
      </w:r>
      <w:r w:rsidRPr="00561AA9">
        <w:rPr>
          <w:b/>
          <w:lang w:val="es-ES"/>
        </w:rPr>
        <w:tab/>
      </w:r>
      <w:r w:rsidR="00F05B91" w:rsidRPr="00561AA9">
        <w:rPr>
          <w:b/>
          <w:bCs/>
          <w:lang w:val="es-ES"/>
        </w:rPr>
        <w:t xml:space="preserve">Meta a largo plazo 1: Servicios para atender </w:t>
      </w:r>
      <w:r w:rsidR="00F05B91" w:rsidRPr="00561AA9">
        <w:rPr>
          <w:b/>
          <w:bCs/>
          <w:lang w:val="es-ES"/>
        </w:rPr>
        <w:br/>
        <w:t>las necesidades de la sociedad</w:t>
      </w:r>
    </w:p>
    <w:p w14:paraId="477CFC0E" w14:textId="0CCC2799" w:rsidR="00814CC6" w:rsidRPr="00561AA9" w:rsidRDefault="00F05B91" w:rsidP="00EC7CF5">
      <w:pPr>
        <w:pStyle w:val="Heading1"/>
        <w:spacing w:before="600" w:after="360"/>
        <w:rPr>
          <w:lang w:val="es-ES"/>
        </w:rPr>
      </w:pPr>
      <w:bookmarkStart w:id="0" w:name="_APPENDIX_A:_"/>
      <w:bookmarkEnd w:id="0"/>
      <w:r w:rsidRPr="00561AA9">
        <w:rPr>
          <w:lang w:val="es-ES"/>
        </w:rPr>
        <w:t xml:space="preserve">Actividades de la Organización Meteorológica Mundial </w:t>
      </w:r>
      <w:r w:rsidRPr="00561AA9">
        <w:rPr>
          <w:lang w:val="es-ES"/>
        </w:rPr>
        <w:br/>
        <w:t>en el ámbito del calor extremo y la salud</w:t>
      </w:r>
    </w:p>
    <w:tbl>
      <w:tblPr>
        <w:tblStyle w:val="TableGrid"/>
        <w:tblW w:w="9634" w:type="dxa"/>
        <w:jc w:val="center"/>
        <w:tblBorders>
          <w:insideH w:val="none" w:sz="0" w:space="0" w:color="auto"/>
          <w:insideV w:val="none" w:sz="0" w:space="0" w:color="auto"/>
        </w:tblBorders>
        <w:tblLook w:val="04A0" w:firstRow="1" w:lastRow="0" w:firstColumn="1" w:lastColumn="0" w:noHBand="0" w:noVBand="1"/>
      </w:tblPr>
      <w:tblGrid>
        <w:gridCol w:w="9634"/>
      </w:tblGrid>
      <w:tr w:rsidR="00EC7CF5" w:rsidRPr="00FE7F8F" w14:paraId="7E153C4E" w14:textId="77777777" w:rsidTr="00FE7F8F">
        <w:trPr>
          <w:jc w:val="center"/>
        </w:trPr>
        <w:tc>
          <w:tcPr>
            <w:tcW w:w="9634" w:type="dxa"/>
          </w:tcPr>
          <w:p w14:paraId="20DE806D" w14:textId="77777777" w:rsidR="00EC7CF5" w:rsidRPr="00561AA9" w:rsidRDefault="00EC7CF5" w:rsidP="003C5AB0">
            <w:pPr>
              <w:pStyle w:val="WMOBodyText"/>
              <w:spacing w:after="240"/>
              <w:jc w:val="center"/>
              <w:rPr>
                <w:b/>
                <w:bCs/>
                <w:sz w:val="22"/>
                <w:szCs w:val="22"/>
                <w:lang w:val="es-ES"/>
              </w:rPr>
            </w:pPr>
            <w:r w:rsidRPr="00561AA9">
              <w:rPr>
                <w:b/>
                <w:bCs/>
                <w:sz w:val="22"/>
                <w:szCs w:val="22"/>
                <w:lang w:val="es-ES"/>
              </w:rPr>
              <w:t>RESUMEN</w:t>
            </w:r>
          </w:p>
          <w:p w14:paraId="12F19930" w14:textId="7A4697B5" w:rsidR="00581CFE" w:rsidRPr="00561AA9" w:rsidRDefault="00581CFE" w:rsidP="00F05B91">
            <w:pPr>
              <w:pStyle w:val="WMOBodyText"/>
              <w:spacing w:before="160"/>
              <w:jc w:val="left"/>
              <w:rPr>
                <w:lang w:val="es-ES"/>
              </w:rPr>
            </w:pPr>
            <w:r w:rsidRPr="00561AA9">
              <w:rPr>
                <w:b/>
                <w:bCs/>
                <w:lang w:val="es-ES"/>
              </w:rPr>
              <w:t>Documento presentado por:</w:t>
            </w:r>
            <w:r w:rsidRPr="00561AA9">
              <w:rPr>
                <w:lang w:val="es-ES"/>
              </w:rPr>
              <w:t xml:space="preserve"> </w:t>
            </w:r>
            <w:r w:rsidR="00F05B91" w:rsidRPr="00561AA9">
              <w:rPr>
                <w:lang w:val="es-ES"/>
              </w:rPr>
              <w:t xml:space="preserve">los copresidentes del Grupo Mixto de Estudio OMS-OMM sobre Servicios de Salud Integrados (SG-HEA), en respuesta a la </w:t>
            </w:r>
            <w:hyperlink r:id="rId12" w:anchor="page=115" w:history="1">
              <w:r w:rsidR="00F05B91" w:rsidRPr="00561AA9">
                <w:rPr>
                  <w:rStyle w:val="Hyperlink"/>
                  <w:lang w:val="es-ES"/>
                </w:rPr>
                <w:t>Resolución 12 (SERCOM-1)</w:t>
              </w:r>
            </w:hyperlink>
            <w:r w:rsidR="00F05B91" w:rsidRPr="00561AA9">
              <w:rPr>
                <w:lang w:val="es-ES"/>
              </w:rPr>
              <w:t xml:space="preserve"> — Red Mundial de Información sobre el Calor y sus Riesgos para la Salud</w:t>
            </w:r>
            <w:r w:rsidR="007949B2">
              <w:rPr>
                <w:lang w:val="es-ES"/>
              </w:rPr>
              <w:t>,</w:t>
            </w:r>
            <w:r w:rsidR="00F05B91" w:rsidRPr="00561AA9">
              <w:rPr>
                <w:lang w:val="es-ES"/>
              </w:rPr>
              <w:t xml:space="preserve"> y a la Recomendación 5.10.1 (SERCOM-2) — Actividades de la Organización Meteorológica Mundial en el ámbito del calor extremo y la salud. En el presente documento se proponen medidas para reforzar las acciones de la Organización Meteorológica Mundial (OMM) destinadas a proteger la salud frente al calor extremo, entre las cuales se incluye el copatrocinio de la Red Mundial de Información sobre el Calor y sus Riesgos para la Salud (GHHIN) por parte de la</w:t>
            </w:r>
            <w:r w:rsidR="00FE7F8F">
              <w:rPr>
                <w:lang w:val="es-ES"/>
              </w:rPr>
              <w:t> </w:t>
            </w:r>
            <w:r w:rsidR="00F05B91" w:rsidRPr="00561AA9">
              <w:rPr>
                <w:lang w:val="es-ES"/>
              </w:rPr>
              <w:t>OMM.</w:t>
            </w:r>
          </w:p>
          <w:p w14:paraId="598E73C5" w14:textId="03E46972" w:rsidR="00581CFE" w:rsidRPr="00561AA9" w:rsidRDefault="00581CFE" w:rsidP="00F05B91">
            <w:pPr>
              <w:pStyle w:val="WMOBodyText"/>
              <w:spacing w:before="160"/>
              <w:jc w:val="left"/>
              <w:rPr>
                <w:b/>
                <w:bCs/>
                <w:lang w:val="es-ES"/>
              </w:rPr>
            </w:pPr>
            <w:r w:rsidRPr="00561AA9">
              <w:rPr>
                <w:b/>
                <w:bCs/>
                <w:lang w:val="es-ES"/>
              </w:rPr>
              <w:t xml:space="preserve">Objetivo estratégico para 2020-2023: </w:t>
            </w:r>
            <w:r w:rsidR="00F05B91" w:rsidRPr="00561AA9">
              <w:rPr>
                <w:lang w:val="es-ES"/>
              </w:rPr>
              <w:t>1.1 — Funcionamiento eficaz y eficiente de la Comisión de Aplicaciones y Servicios Meteorológicos, Climáticos, Hidrológicos y Medioambientales Conexos y de sus estructuras de trabajo.</w:t>
            </w:r>
          </w:p>
          <w:p w14:paraId="48FC2249" w14:textId="40FC422C" w:rsidR="00581CFE" w:rsidRPr="00561AA9" w:rsidRDefault="00581CFE" w:rsidP="00F05B91">
            <w:pPr>
              <w:pStyle w:val="WMOBodyText"/>
              <w:spacing w:before="160"/>
              <w:jc w:val="left"/>
              <w:rPr>
                <w:lang w:val="es-ES"/>
              </w:rPr>
            </w:pPr>
            <w:r w:rsidRPr="00561AA9">
              <w:rPr>
                <w:b/>
                <w:bCs/>
                <w:lang w:val="es-ES"/>
              </w:rPr>
              <w:t>Consecuencias financieras y administrativas:</w:t>
            </w:r>
            <w:r w:rsidRPr="00561AA9">
              <w:rPr>
                <w:lang w:val="es-ES"/>
              </w:rPr>
              <w:t xml:space="preserve"> </w:t>
            </w:r>
            <w:r w:rsidR="0037265A" w:rsidRPr="00561AA9">
              <w:rPr>
                <w:lang w:val="es-ES"/>
              </w:rPr>
              <w:t>financi</w:t>
            </w:r>
            <w:r w:rsidR="00BB17CC">
              <w:rPr>
                <w:lang w:val="es-ES"/>
              </w:rPr>
              <w:t xml:space="preserve">ación </w:t>
            </w:r>
            <w:r w:rsidR="00F05B91" w:rsidRPr="00561AA9">
              <w:rPr>
                <w:lang w:val="es-ES"/>
              </w:rPr>
              <w:t>con cargo a</w:t>
            </w:r>
            <w:r w:rsidR="0037265A" w:rsidRPr="00561AA9">
              <w:rPr>
                <w:lang w:val="es-ES"/>
              </w:rPr>
              <w:t xml:space="preserve"> </w:t>
            </w:r>
            <w:r w:rsidR="00F05B91" w:rsidRPr="00561AA9">
              <w:rPr>
                <w:lang w:val="es-ES"/>
              </w:rPr>
              <w:t xml:space="preserve">recursos extrapresupuestarios </w:t>
            </w:r>
            <w:r w:rsidR="0037265A" w:rsidRPr="00561AA9">
              <w:rPr>
                <w:lang w:val="es-ES"/>
              </w:rPr>
              <w:t xml:space="preserve">correspondientes al período 2023-2027 </w:t>
            </w:r>
            <w:r w:rsidR="00F05B91" w:rsidRPr="00561AA9">
              <w:rPr>
                <w:lang w:val="es-ES"/>
              </w:rPr>
              <w:t>y dentro de los parámetros del Plan Estratégico y del Plan de Funcionamiento para 2020-2023.</w:t>
            </w:r>
          </w:p>
          <w:p w14:paraId="0BBC1C92" w14:textId="5D0474E7" w:rsidR="00581CFE" w:rsidRPr="00561AA9" w:rsidRDefault="00581CFE" w:rsidP="00F05B91">
            <w:pPr>
              <w:pStyle w:val="WMOBodyText"/>
              <w:spacing w:before="160"/>
              <w:jc w:val="left"/>
              <w:rPr>
                <w:lang w:val="es-ES"/>
              </w:rPr>
            </w:pPr>
            <w:r w:rsidRPr="00561AA9">
              <w:rPr>
                <w:b/>
                <w:bCs/>
                <w:lang w:val="es-ES"/>
              </w:rPr>
              <w:t>Principales encargados de la ejecución:</w:t>
            </w:r>
            <w:r w:rsidRPr="00561AA9">
              <w:rPr>
                <w:lang w:val="es-ES"/>
              </w:rPr>
              <w:t xml:space="preserve"> </w:t>
            </w:r>
            <w:r w:rsidR="00F05B91" w:rsidRPr="00561AA9">
              <w:rPr>
                <w:lang w:val="es-ES"/>
              </w:rPr>
              <w:t>la Comisión de Aplicaciones y Servicios Meteorológicos, Climáticos, Hidrológicos y Medioambientales Conexos (SERCOM), en consulta con la Comisión de Observaciones, Infraestructura y Sistemas de Información (INFCOM), la Junta de Investigación sobre el Tiempo, el Clima, el Agua y el Medioambiente, el Grupo de Expertos del Consejo Ejecutivo sobre Desarrollo de Capacidad (EC-CDP), las asociaciones regionales, la Organización Mundial de la Salud (OMS) y los asociados pertinentes.</w:t>
            </w:r>
          </w:p>
          <w:p w14:paraId="4AA0BC8B" w14:textId="41CD5B7B" w:rsidR="00581CFE" w:rsidRPr="00561AA9" w:rsidRDefault="00581CFE" w:rsidP="00F05B91">
            <w:pPr>
              <w:pStyle w:val="WMOBodyText"/>
              <w:spacing w:before="160"/>
              <w:jc w:val="left"/>
              <w:rPr>
                <w:lang w:val="es-ES"/>
              </w:rPr>
            </w:pPr>
            <w:r w:rsidRPr="00561AA9">
              <w:rPr>
                <w:b/>
                <w:bCs/>
                <w:lang w:val="es-ES"/>
              </w:rPr>
              <w:t>Cronograma:</w:t>
            </w:r>
            <w:r w:rsidRPr="00561AA9">
              <w:rPr>
                <w:lang w:val="es-ES"/>
              </w:rPr>
              <w:t xml:space="preserve"> </w:t>
            </w:r>
            <w:r w:rsidR="00F05B91" w:rsidRPr="00561AA9">
              <w:rPr>
                <w:lang w:val="es-ES"/>
              </w:rPr>
              <w:t>2023-2027.</w:t>
            </w:r>
          </w:p>
          <w:p w14:paraId="136E007B" w14:textId="21ED9675" w:rsidR="00581CFE" w:rsidRPr="00561AA9" w:rsidRDefault="00581CFE" w:rsidP="00FE7F8F">
            <w:pPr>
              <w:pStyle w:val="WMOBodyText"/>
              <w:spacing w:before="160" w:after="120"/>
              <w:jc w:val="left"/>
              <w:rPr>
                <w:b/>
                <w:bCs/>
                <w:sz w:val="22"/>
                <w:szCs w:val="22"/>
                <w:lang w:val="es-ES"/>
              </w:rPr>
            </w:pPr>
            <w:r w:rsidRPr="00561AA9">
              <w:rPr>
                <w:b/>
                <w:bCs/>
                <w:lang w:val="es-ES"/>
              </w:rPr>
              <w:t>Medida prevista:</w:t>
            </w:r>
            <w:r w:rsidRPr="00561AA9">
              <w:rPr>
                <w:lang w:val="es-ES"/>
              </w:rPr>
              <w:t xml:space="preserve"> </w:t>
            </w:r>
            <w:r w:rsidR="00F05B91" w:rsidRPr="00561AA9">
              <w:rPr>
                <w:lang w:val="es-ES"/>
              </w:rPr>
              <w:t>aprobación del proyecto de resolución.</w:t>
            </w:r>
          </w:p>
        </w:tc>
      </w:tr>
    </w:tbl>
    <w:p w14:paraId="621E2509" w14:textId="77777777" w:rsidR="00B01B02" w:rsidRPr="00561AA9" w:rsidRDefault="00B01B02" w:rsidP="00EC7CF5">
      <w:pPr>
        <w:pStyle w:val="WMOBodyText"/>
        <w:spacing w:before="0"/>
        <w:rPr>
          <w:lang w:val="es-ES"/>
        </w:rPr>
      </w:pPr>
    </w:p>
    <w:p w14:paraId="397FB6D7" w14:textId="77777777" w:rsidR="00B01B02" w:rsidRPr="00561AA9" w:rsidRDefault="00B01B02">
      <w:pPr>
        <w:tabs>
          <w:tab w:val="clear" w:pos="1134"/>
        </w:tabs>
        <w:jc w:val="left"/>
        <w:rPr>
          <w:rFonts w:eastAsia="Verdana" w:cs="Verdana"/>
          <w:caps/>
          <w:kern w:val="32"/>
          <w:sz w:val="24"/>
          <w:szCs w:val="24"/>
          <w:lang w:val="es-ES" w:eastAsia="zh-TW"/>
        </w:rPr>
      </w:pPr>
      <w:r w:rsidRPr="00561AA9">
        <w:rPr>
          <w:lang w:val="es-ES"/>
        </w:rPr>
        <w:br w:type="page"/>
      </w:r>
    </w:p>
    <w:p w14:paraId="0B8163F7" w14:textId="77777777" w:rsidR="00F05B91" w:rsidRPr="00561AA9" w:rsidRDefault="00F05B91" w:rsidP="00F05B91">
      <w:pPr>
        <w:pStyle w:val="Heading1"/>
        <w:rPr>
          <w:lang w:val="es-ES"/>
        </w:rPr>
      </w:pPr>
      <w:r w:rsidRPr="00561AA9">
        <w:rPr>
          <w:lang w:val="es-ES"/>
        </w:rPr>
        <w:lastRenderedPageBreak/>
        <w:t>CONSIDERACIONES GENERALES</w:t>
      </w:r>
    </w:p>
    <w:p w14:paraId="7DE4C25C" w14:textId="77777777" w:rsidR="00F05B91" w:rsidRPr="00561AA9" w:rsidRDefault="00F05B91" w:rsidP="00F05B91">
      <w:pPr>
        <w:pStyle w:val="Heading3"/>
        <w:rPr>
          <w:lang w:val="es-ES"/>
        </w:rPr>
      </w:pPr>
      <w:r w:rsidRPr="00561AA9">
        <w:rPr>
          <w:lang w:val="es-ES"/>
        </w:rPr>
        <w:t>Incremento de los riesgos relacionados con el calor extremo</w:t>
      </w:r>
    </w:p>
    <w:p w14:paraId="4C013623" w14:textId="6DF7BAEA" w:rsidR="00F05B91" w:rsidRPr="00561AA9" w:rsidRDefault="00F05B91" w:rsidP="00011B46">
      <w:pPr>
        <w:pStyle w:val="WMOBodyText"/>
        <w:numPr>
          <w:ilvl w:val="0"/>
          <w:numId w:val="46"/>
        </w:numPr>
        <w:tabs>
          <w:tab w:val="clear" w:pos="1134"/>
        </w:tabs>
        <w:ind w:left="11" w:hanging="11"/>
        <w:rPr>
          <w:lang w:val="es-ES"/>
        </w:rPr>
      </w:pPr>
      <w:r w:rsidRPr="00561AA9">
        <w:rPr>
          <w:lang w:val="es-ES"/>
        </w:rPr>
        <w:t xml:space="preserve">Los episodios de calor extremo son los fenómenos meteorológicos extremos más mortíferos en todo el mundo. Las conclusiones del Grupo Intergubernamental de Expertos sobre el Cambio Climático (IPCC) indican que la exposición de la población a episodios de calor extremo más prolongados, </w:t>
      </w:r>
      <w:r w:rsidR="0037265A" w:rsidRPr="00561AA9">
        <w:rPr>
          <w:lang w:val="es-ES"/>
        </w:rPr>
        <w:t>intensos</w:t>
      </w:r>
      <w:r w:rsidRPr="00561AA9">
        <w:rPr>
          <w:lang w:val="es-ES"/>
        </w:rPr>
        <w:t xml:space="preserve"> y frecuentes aumenta rápidamente debido al cambio climático.</w:t>
      </w:r>
    </w:p>
    <w:p w14:paraId="6586BA26" w14:textId="2409CCE9" w:rsidR="00F05B91" w:rsidRPr="00561AA9" w:rsidRDefault="00F05B91" w:rsidP="00011B46">
      <w:pPr>
        <w:pStyle w:val="WMOBodyText"/>
        <w:numPr>
          <w:ilvl w:val="0"/>
          <w:numId w:val="46"/>
        </w:numPr>
        <w:tabs>
          <w:tab w:val="clear" w:pos="1134"/>
        </w:tabs>
        <w:ind w:left="11" w:hanging="11"/>
        <w:rPr>
          <w:lang w:val="es-ES"/>
        </w:rPr>
      </w:pPr>
      <w:r w:rsidRPr="00561AA9">
        <w:rPr>
          <w:lang w:val="es-ES"/>
        </w:rPr>
        <w:t xml:space="preserve">El calor extremo </w:t>
      </w:r>
      <w:r w:rsidR="0037265A" w:rsidRPr="00561AA9">
        <w:rPr>
          <w:lang w:val="es-ES"/>
        </w:rPr>
        <w:t>agrava</w:t>
      </w:r>
      <w:r w:rsidRPr="00561AA9">
        <w:rPr>
          <w:lang w:val="es-ES"/>
        </w:rPr>
        <w:t xml:space="preserve"> los riesgos de sequía, incendio y mala calidad del aire y del agua, así como los daños en las infraestructuras y la agricultura, y los problemas de salud en personas y animales.</w:t>
      </w:r>
    </w:p>
    <w:p w14:paraId="7CA0310C" w14:textId="77777777" w:rsidR="00F05B91" w:rsidRPr="00561AA9" w:rsidRDefault="00F05B91" w:rsidP="00011B46">
      <w:pPr>
        <w:pStyle w:val="WMOBodyText"/>
        <w:numPr>
          <w:ilvl w:val="0"/>
          <w:numId w:val="46"/>
        </w:numPr>
        <w:tabs>
          <w:tab w:val="clear" w:pos="1134"/>
        </w:tabs>
        <w:ind w:left="11" w:hanging="11"/>
        <w:rPr>
          <w:lang w:val="es-ES"/>
        </w:rPr>
      </w:pPr>
      <w:r w:rsidRPr="00561AA9">
        <w:rPr>
          <w:lang w:val="es-ES"/>
        </w:rPr>
        <w:t>El IPCC ha concluido recientemente, con un nivel de confianza alto, que las opciones de adaptación a los futuros riesgos relacionados con el calor extremo incluyen planes de acción frente al calor que incorporen sistemas de alerta y respuesta tempranas para entornos urbanos y no urbanos; estrategias de respuesta probadas y actualizadas de forma iterativa dirigidas a la población en general y a los grupos vulnerables, como adultos de edad avanzada o personas que trabajan a la intemperie; y planes eficaces de comunicación con las partes interesadas.</w:t>
      </w:r>
    </w:p>
    <w:p w14:paraId="2886931F" w14:textId="2A4627E8" w:rsidR="00F05B91" w:rsidRPr="00561AA9" w:rsidRDefault="00F05B91" w:rsidP="00F05B91">
      <w:pPr>
        <w:pStyle w:val="Heading3"/>
        <w:rPr>
          <w:lang w:val="es-ES"/>
        </w:rPr>
      </w:pPr>
      <w:r w:rsidRPr="00561AA9">
        <w:rPr>
          <w:lang w:val="es-ES"/>
        </w:rPr>
        <w:t xml:space="preserve">Fortalecimiento de las medidas de la Organización Meteorológica Mundial </w:t>
      </w:r>
      <w:r w:rsidR="000A08BB">
        <w:rPr>
          <w:lang w:val="es-ES"/>
        </w:rPr>
        <w:br/>
      </w:r>
      <w:r w:rsidRPr="00561AA9">
        <w:rPr>
          <w:lang w:val="es-ES"/>
        </w:rPr>
        <w:t>en el ámbito de la salud y el calor extremo</w:t>
      </w:r>
    </w:p>
    <w:p w14:paraId="4DC6C62E" w14:textId="58A30A5C" w:rsidR="00F05B91" w:rsidRPr="00561AA9" w:rsidRDefault="00F05B91" w:rsidP="00011B46">
      <w:pPr>
        <w:pStyle w:val="WMOBodyText"/>
        <w:numPr>
          <w:ilvl w:val="0"/>
          <w:numId w:val="46"/>
        </w:numPr>
        <w:tabs>
          <w:tab w:val="clear" w:pos="1134"/>
        </w:tabs>
        <w:ind w:left="11" w:hanging="11"/>
        <w:rPr>
          <w:color w:val="000000" w:themeColor="text1"/>
          <w:lang w:val="es-ES"/>
        </w:rPr>
      </w:pPr>
      <w:r w:rsidRPr="00561AA9">
        <w:rPr>
          <w:lang w:val="es-ES"/>
        </w:rPr>
        <w:t xml:space="preserve">En la </w:t>
      </w:r>
      <w:hyperlink r:id="rId13" w:history="1">
        <w:r w:rsidRPr="00561AA9">
          <w:rPr>
            <w:rStyle w:val="Hyperlink"/>
            <w:lang w:val="es-ES"/>
          </w:rPr>
          <w:t>Reco</w:t>
        </w:r>
        <w:r w:rsidRPr="00561AA9">
          <w:rPr>
            <w:rStyle w:val="Hyperlink"/>
            <w:lang w:val="es-ES"/>
          </w:rPr>
          <w:t>m</w:t>
        </w:r>
        <w:r w:rsidRPr="00561AA9">
          <w:rPr>
            <w:rStyle w:val="Hyperlink"/>
            <w:lang w:val="es-ES"/>
          </w:rPr>
          <w:t>endación 5.10(3) (SERCOM-2)</w:t>
        </w:r>
      </w:hyperlink>
      <w:r w:rsidRPr="00561AA9">
        <w:rPr>
          <w:lang w:val="es-ES"/>
        </w:rPr>
        <w:t xml:space="preserve"> — Plan de Ejecución para Contribuir al Progreso de la Ciencia y los Servicios Integrados en el Ámbito del Clima y la Salud, se pide en particular que se mejore la comprensión, las alertas tempranas y la gestión de los riesgos en cascada relacionados con el clima, como por ejemplo, el calor extremo, los incendios forestales y los riesgos para la salud asociados a la calidad del aire en las zonas urbanas.</w:t>
      </w:r>
    </w:p>
    <w:p w14:paraId="5DADBC35" w14:textId="7D6D790E" w:rsidR="00F05B91" w:rsidRPr="00561AA9" w:rsidRDefault="00F05B91" w:rsidP="00011B46">
      <w:pPr>
        <w:pStyle w:val="WMOBodyText"/>
        <w:numPr>
          <w:ilvl w:val="0"/>
          <w:numId w:val="46"/>
        </w:numPr>
        <w:tabs>
          <w:tab w:val="clear" w:pos="1134"/>
        </w:tabs>
        <w:ind w:left="11" w:hanging="11"/>
        <w:rPr>
          <w:color w:val="000000" w:themeColor="text1"/>
          <w:lang w:val="es-ES"/>
        </w:rPr>
      </w:pPr>
      <w:r w:rsidRPr="00561AA9">
        <w:rPr>
          <w:lang w:val="es-ES"/>
        </w:rPr>
        <w:t xml:space="preserve">Desde 2015, los órganos y programas actuales de la OMM no están dando respuesta a las necesidades definidas en los siguientes talleres de expertos de la OMM: </w:t>
      </w:r>
      <w:hyperlink r:id="rId14" w:history="1">
        <w:r w:rsidRPr="00561AA9">
          <w:rPr>
            <w:rStyle w:val="Hyperlink"/>
            <w:lang w:val="es-ES"/>
          </w:rPr>
          <w:t>Taller sobre el Desarrollo de Sistemas de Infor</w:t>
        </w:r>
        <w:r w:rsidRPr="00561AA9">
          <w:rPr>
            <w:rStyle w:val="Hyperlink"/>
            <w:lang w:val="es-ES"/>
          </w:rPr>
          <w:t>m</w:t>
        </w:r>
        <w:r w:rsidRPr="00561AA9">
          <w:rPr>
            <w:rStyle w:val="Hyperlink"/>
            <w:lang w:val="es-ES"/>
          </w:rPr>
          <w:t>ación Climática para la Emisión de Alertas Tempranas de Riesgos para la Salud Debidos al Calor</w:t>
        </w:r>
      </w:hyperlink>
      <w:r w:rsidRPr="00561AA9">
        <w:rPr>
          <w:lang w:val="es-ES"/>
        </w:rPr>
        <w:t xml:space="preserve">: Evaluación de Conocimientos, Necesidades y Formas de Proceder (Chicago, 2015); </w:t>
      </w:r>
      <w:hyperlink r:id="rId15" w:history="1">
        <w:r w:rsidRPr="00561AA9">
          <w:rPr>
            <w:rStyle w:val="Hyperlink"/>
            <w:lang w:val="es-ES"/>
          </w:rPr>
          <w:t xml:space="preserve">Primer </w:t>
        </w:r>
        <w:r w:rsidRPr="00561AA9">
          <w:rPr>
            <w:rStyle w:val="Hyperlink"/>
            <w:lang w:val="es-ES"/>
          </w:rPr>
          <w:t>F</w:t>
        </w:r>
        <w:r w:rsidRPr="00561AA9">
          <w:rPr>
            <w:rStyle w:val="Hyperlink"/>
            <w:lang w:val="es-ES"/>
          </w:rPr>
          <w:t>oro de Asia Meridional sobre Servicios Climáticos para la Salud</w:t>
        </w:r>
      </w:hyperlink>
      <w:r w:rsidRPr="00561AA9">
        <w:rPr>
          <w:lang w:val="es-ES"/>
        </w:rPr>
        <w:t xml:space="preserve"> (Colombo, 2016); </w:t>
      </w:r>
      <w:hyperlink r:id="rId16" w:history="1">
        <w:r w:rsidRPr="00561AA9">
          <w:rPr>
            <w:rStyle w:val="Hyperlink"/>
            <w:lang w:val="es-ES"/>
          </w:rPr>
          <w:t>Primer For</w:t>
        </w:r>
        <w:r w:rsidRPr="00561AA9">
          <w:rPr>
            <w:rStyle w:val="Hyperlink"/>
            <w:lang w:val="es-ES"/>
          </w:rPr>
          <w:t>o</w:t>
        </w:r>
        <w:r w:rsidRPr="00561AA9">
          <w:rPr>
            <w:rStyle w:val="Hyperlink"/>
            <w:lang w:val="es-ES"/>
          </w:rPr>
          <w:t xml:space="preserve"> Mundial sobre Calor y Salud</w:t>
        </w:r>
      </w:hyperlink>
      <w:r w:rsidRPr="00561AA9">
        <w:rPr>
          <w:lang w:val="es-ES"/>
        </w:rPr>
        <w:t xml:space="preserve"> (Hong Kong, 2018); y </w:t>
      </w:r>
      <w:hyperlink r:id="rId17" w:history="1">
        <w:r w:rsidRPr="00561AA9">
          <w:rPr>
            <w:rStyle w:val="Hyperlink"/>
            <w:lang w:val="es-ES"/>
          </w:rPr>
          <w:t>Cumbre de Asia Meridional so</w:t>
        </w:r>
        <w:r w:rsidRPr="00561AA9">
          <w:rPr>
            <w:rStyle w:val="Hyperlink"/>
            <w:lang w:val="es-ES"/>
          </w:rPr>
          <w:t>b</w:t>
        </w:r>
        <w:r w:rsidRPr="00561AA9">
          <w:rPr>
            <w:rStyle w:val="Hyperlink"/>
            <w:lang w:val="es-ES"/>
          </w:rPr>
          <w:t>re el Calor y sus Riesgos para la Salud</w:t>
        </w:r>
      </w:hyperlink>
      <w:r w:rsidRPr="00561AA9">
        <w:rPr>
          <w:lang w:val="es-ES"/>
        </w:rPr>
        <w:t xml:space="preserve"> (Pune, 2020).</w:t>
      </w:r>
    </w:p>
    <w:p w14:paraId="6D1A33DD" w14:textId="376742C6" w:rsidR="00F05B91" w:rsidRPr="00561AA9" w:rsidRDefault="008F0626" w:rsidP="00F05B91">
      <w:pPr>
        <w:pStyle w:val="Heading3"/>
        <w:rPr>
          <w:lang w:val="es-ES"/>
        </w:rPr>
      </w:pPr>
      <w:r w:rsidRPr="00561AA9">
        <w:rPr>
          <w:lang w:val="es-ES"/>
        </w:rPr>
        <w:t xml:space="preserve">Armonización </w:t>
      </w:r>
      <w:r w:rsidR="00F05B91" w:rsidRPr="00561AA9">
        <w:rPr>
          <w:lang w:val="es-ES"/>
        </w:rPr>
        <w:t xml:space="preserve">con las medidas de la </w:t>
      </w:r>
      <w:r w:rsidRPr="00561AA9">
        <w:rPr>
          <w:lang w:val="es-ES"/>
        </w:rPr>
        <w:t>Organización Meteorológica Mundial</w:t>
      </w:r>
    </w:p>
    <w:p w14:paraId="214493BB" w14:textId="2CB536C1" w:rsidR="00F05B91" w:rsidRPr="00561AA9" w:rsidRDefault="00F05B91" w:rsidP="00011B46">
      <w:pPr>
        <w:pStyle w:val="WMOBodyText"/>
        <w:numPr>
          <w:ilvl w:val="0"/>
          <w:numId w:val="46"/>
        </w:numPr>
        <w:tabs>
          <w:tab w:val="clear" w:pos="1134"/>
        </w:tabs>
        <w:ind w:left="11" w:hanging="11"/>
        <w:rPr>
          <w:color w:val="000000" w:themeColor="text1"/>
          <w:lang w:val="es-ES"/>
        </w:rPr>
      </w:pPr>
      <w:r w:rsidRPr="00561AA9">
        <w:rPr>
          <w:lang w:val="es-ES"/>
        </w:rPr>
        <w:t xml:space="preserve">Los programas e iniciativas actuales de la OMM, como la iniciativa Alertas Tempranas para Todos, pueden contribuir </w:t>
      </w:r>
      <w:r w:rsidR="00D70FEA" w:rsidRPr="00561AA9">
        <w:rPr>
          <w:lang w:val="es-ES"/>
        </w:rPr>
        <w:t xml:space="preserve">en mayor medida </w:t>
      </w:r>
      <w:r w:rsidRPr="00561AA9">
        <w:rPr>
          <w:lang w:val="es-ES"/>
        </w:rPr>
        <w:t>a la comprensión</w:t>
      </w:r>
      <w:r w:rsidR="00D70FEA" w:rsidRPr="00561AA9">
        <w:rPr>
          <w:lang w:val="es-ES"/>
        </w:rPr>
        <w:t xml:space="preserve"> de los cambios dinámicos que experimentan los riesgos para la población debidos al calor extremo y a la emisión de las predicciones y las alertas correspondientes</w:t>
      </w:r>
      <w:r w:rsidRPr="00561AA9">
        <w:rPr>
          <w:lang w:val="es-ES"/>
        </w:rPr>
        <w:t xml:space="preserve">, por ejemplo, </w:t>
      </w:r>
      <w:r w:rsidR="00D70FEA" w:rsidRPr="00561AA9">
        <w:rPr>
          <w:lang w:val="es-ES"/>
        </w:rPr>
        <w:t xml:space="preserve">al </w:t>
      </w:r>
      <w:r w:rsidRPr="00561AA9">
        <w:rPr>
          <w:lang w:val="es-ES"/>
        </w:rPr>
        <w:t>mejorar la cobertura de los sistemas de alerta temprana de episodios de calor; aumentar la capacidad de predicci</w:t>
      </w:r>
      <w:r w:rsidR="00597FC0">
        <w:rPr>
          <w:lang w:val="es-ES"/>
        </w:rPr>
        <w:t xml:space="preserve">ón </w:t>
      </w:r>
      <w:r w:rsidRPr="00561AA9">
        <w:rPr>
          <w:lang w:val="es-ES"/>
        </w:rPr>
        <w:t xml:space="preserve">de </w:t>
      </w:r>
      <w:r w:rsidR="00184203">
        <w:rPr>
          <w:lang w:val="es-ES"/>
        </w:rPr>
        <w:t xml:space="preserve">los </w:t>
      </w:r>
      <w:r w:rsidRPr="00561AA9">
        <w:rPr>
          <w:lang w:val="es-ES"/>
        </w:rPr>
        <w:t xml:space="preserve">episodios de calor </w:t>
      </w:r>
      <w:r w:rsidR="00597FC0">
        <w:rPr>
          <w:lang w:val="es-ES"/>
        </w:rPr>
        <w:t xml:space="preserve">y sus </w:t>
      </w:r>
      <w:r w:rsidRPr="00561AA9">
        <w:rPr>
          <w:lang w:val="es-ES"/>
        </w:rPr>
        <w:t>impactos para la salud; aprovechar las investigaciones sobre las islas de calor urbanas y la calidad del aire; colaborar con las plataformas destinadas al registro de episodios de olas de calor y sus repercusiones; y contribuir al progreso de los pronósticos subestacionales y a las buenas prácticas en materia de establecimiento de asociaciones y comunicación de riesgos.</w:t>
      </w:r>
    </w:p>
    <w:p w14:paraId="5EE43CE1" w14:textId="4D0AC09E" w:rsidR="00F05B91" w:rsidRPr="00561AA9" w:rsidRDefault="00F05B91" w:rsidP="00011B46">
      <w:pPr>
        <w:pStyle w:val="WMOBodyText"/>
        <w:numPr>
          <w:ilvl w:val="0"/>
          <w:numId w:val="46"/>
        </w:numPr>
        <w:tabs>
          <w:tab w:val="clear" w:pos="1134"/>
        </w:tabs>
        <w:ind w:left="11" w:hanging="11"/>
        <w:rPr>
          <w:lang w:val="es-ES"/>
        </w:rPr>
      </w:pPr>
      <w:r w:rsidRPr="00561AA9">
        <w:rPr>
          <w:lang w:val="es-ES"/>
        </w:rPr>
        <w:lastRenderedPageBreak/>
        <w:t xml:space="preserve">Se invita al Consejo Ejecutivo a </w:t>
      </w:r>
      <w:r w:rsidR="00D70FEA" w:rsidRPr="00561AA9">
        <w:rPr>
          <w:lang w:val="es-ES"/>
        </w:rPr>
        <w:t>aprobar</w:t>
      </w:r>
      <w:r w:rsidRPr="00561AA9">
        <w:rPr>
          <w:lang w:val="es-ES"/>
        </w:rPr>
        <w:t xml:space="preserve"> el proyecto de </w:t>
      </w:r>
      <w:hyperlink w:anchor="resolución" w:history="1">
        <w:r w:rsidRPr="00561AA9">
          <w:rPr>
            <w:rStyle w:val="Hyperlink"/>
            <w:lang w:val="es-ES"/>
          </w:rPr>
          <w:t>Resoluc</w:t>
        </w:r>
        <w:r w:rsidRPr="00561AA9">
          <w:rPr>
            <w:rStyle w:val="Hyperlink"/>
            <w:lang w:val="es-ES"/>
          </w:rPr>
          <w:t>i</w:t>
        </w:r>
        <w:r w:rsidRPr="00561AA9">
          <w:rPr>
            <w:rStyle w:val="Hyperlink"/>
            <w:lang w:val="es-ES"/>
          </w:rPr>
          <w:t xml:space="preserve">ón </w:t>
        </w:r>
        <w:r w:rsidRPr="00561AA9">
          <w:rPr>
            <w:rStyle w:val="Hyperlink"/>
            <w:lang w:val="es-ES"/>
          </w:rPr>
          <w:t>3</w:t>
        </w:r>
        <w:r w:rsidRPr="00561AA9">
          <w:rPr>
            <w:rStyle w:val="Hyperlink"/>
            <w:lang w:val="es-ES"/>
          </w:rPr>
          <w:t>.1(</w:t>
        </w:r>
        <w:proofErr w:type="gramStart"/>
        <w:r w:rsidRPr="00561AA9">
          <w:rPr>
            <w:rStyle w:val="Hyperlink"/>
            <w:lang w:val="es-ES"/>
          </w:rPr>
          <w:t>16)/</w:t>
        </w:r>
        <w:proofErr w:type="gramEnd"/>
        <w:r w:rsidRPr="00561AA9">
          <w:rPr>
            <w:rStyle w:val="Hyperlink"/>
            <w:lang w:val="es-ES"/>
          </w:rPr>
          <w:t>1 (EC</w:t>
        </w:r>
        <w:r w:rsidR="00011B46">
          <w:rPr>
            <w:rStyle w:val="Hyperlink"/>
            <w:lang w:val="es-ES"/>
          </w:rPr>
          <w:noBreakHyphen/>
        </w:r>
        <w:r w:rsidRPr="00561AA9">
          <w:rPr>
            <w:rStyle w:val="Hyperlink"/>
            <w:lang w:val="es-ES"/>
          </w:rPr>
          <w:t>76)</w:t>
        </w:r>
      </w:hyperlink>
      <w:r w:rsidRPr="00561AA9">
        <w:rPr>
          <w:lang w:val="es-ES"/>
        </w:rPr>
        <w:t xml:space="preserve"> — Actividades de la Organización Meteorológica Mundial en el ámbito del calor extremo y la salud.</w:t>
      </w:r>
    </w:p>
    <w:p w14:paraId="75007CAB" w14:textId="77777777" w:rsidR="00F05B91" w:rsidRPr="00561AA9" w:rsidRDefault="00F05B91" w:rsidP="00F05B91">
      <w:pPr>
        <w:pStyle w:val="WMOBodyText"/>
        <w:spacing w:after="240"/>
        <w:rPr>
          <w:lang w:val="es-ES"/>
        </w:rPr>
      </w:pPr>
    </w:p>
    <w:p w14:paraId="2EBBB2C5" w14:textId="51FF9382" w:rsidR="00F05B91" w:rsidRPr="00561AA9" w:rsidRDefault="00F05B91" w:rsidP="00F05B91">
      <w:pPr>
        <w:pStyle w:val="WMOBodyText"/>
        <w:spacing w:after="240"/>
        <w:rPr>
          <w:lang w:val="es-ES"/>
        </w:rPr>
      </w:pPr>
      <w:r w:rsidRPr="00561AA9">
        <w:rPr>
          <w:lang w:val="es-ES"/>
        </w:rPr>
        <w:br w:type="page"/>
      </w:r>
    </w:p>
    <w:p w14:paraId="73963782" w14:textId="03160D66" w:rsidR="00581CFE" w:rsidRPr="00561AA9" w:rsidRDefault="00581CFE" w:rsidP="00581CFE">
      <w:pPr>
        <w:pStyle w:val="Heading1"/>
        <w:rPr>
          <w:lang w:val="es-ES"/>
        </w:rPr>
      </w:pPr>
      <w:r w:rsidRPr="00561AA9">
        <w:rPr>
          <w:lang w:val="es-ES"/>
        </w:rPr>
        <w:lastRenderedPageBreak/>
        <w:t>PROYECTO DE RESOLUCIÓN</w:t>
      </w:r>
    </w:p>
    <w:p w14:paraId="64DC7B86" w14:textId="6E67192A" w:rsidR="00581CFE" w:rsidRPr="00561AA9" w:rsidRDefault="00581CFE" w:rsidP="00581CFE">
      <w:pPr>
        <w:pStyle w:val="Heading2"/>
        <w:rPr>
          <w:lang w:val="es-ES"/>
        </w:rPr>
      </w:pPr>
      <w:bookmarkStart w:id="1" w:name="resolución"/>
      <w:bookmarkEnd w:id="1"/>
      <w:r w:rsidRPr="00561AA9">
        <w:rPr>
          <w:lang w:val="es-ES"/>
        </w:rPr>
        <w:t xml:space="preserve">Proyecto de Resolución </w:t>
      </w:r>
      <w:r w:rsidR="00F05B91" w:rsidRPr="00561AA9">
        <w:rPr>
          <w:lang w:val="es-ES"/>
        </w:rPr>
        <w:t>3.1(</w:t>
      </w:r>
      <w:proofErr w:type="gramStart"/>
      <w:r w:rsidR="00F05B91" w:rsidRPr="00561AA9">
        <w:rPr>
          <w:lang w:val="es-ES"/>
        </w:rPr>
        <w:t>16)</w:t>
      </w:r>
      <w:r w:rsidRPr="00561AA9">
        <w:rPr>
          <w:lang w:val="es-ES"/>
        </w:rPr>
        <w:t>/</w:t>
      </w:r>
      <w:proofErr w:type="gramEnd"/>
      <w:r w:rsidRPr="00561AA9">
        <w:rPr>
          <w:lang w:val="es-ES"/>
        </w:rPr>
        <w:t>1 (EC-7</w:t>
      </w:r>
      <w:r w:rsidR="0050607D" w:rsidRPr="00561AA9">
        <w:rPr>
          <w:lang w:val="es-ES"/>
        </w:rPr>
        <w:t>6</w:t>
      </w:r>
      <w:r w:rsidRPr="00561AA9">
        <w:rPr>
          <w:lang w:val="es-ES"/>
        </w:rPr>
        <w:t>)</w:t>
      </w:r>
    </w:p>
    <w:p w14:paraId="797BA2E9" w14:textId="6A30F9D3" w:rsidR="00581CFE" w:rsidRPr="00561AA9" w:rsidRDefault="00F05B91" w:rsidP="00581CFE">
      <w:pPr>
        <w:pStyle w:val="Heading2"/>
        <w:rPr>
          <w:lang w:val="es-ES"/>
        </w:rPr>
      </w:pPr>
      <w:r w:rsidRPr="00561AA9">
        <w:rPr>
          <w:lang w:val="es-ES"/>
        </w:rPr>
        <w:t xml:space="preserve">Actividades de la Organización Meteorológica Mundial </w:t>
      </w:r>
      <w:r w:rsidRPr="00561AA9">
        <w:rPr>
          <w:lang w:val="es-ES"/>
        </w:rPr>
        <w:br/>
        <w:t>en el ámbito del calor extremo y la salud</w:t>
      </w:r>
    </w:p>
    <w:p w14:paraId="1725BFAE" w14:textId="77777777" w:rsidR="00581CFE" w:rsidRPr="00561AA9" w:rsidRDefault="00581CFE" w:rsidP="00581CFE">
      <w:pPr>
        <w:pStyle w:val="WMOBodyText"/>
        <w:rPr>
          <w:lang w:val="es-ES"/>
        </w:rPr>
      </w:pPr>
      <w:r w:rsidRPr="00561AA9">
        <w:rPr>
          <w:lang w:val="es-ES"/>
        </w:rPr>
        <w:t>EL CONSEJO EJECUTIVO,</w:t>
      </w:r>
    </w:p>
    <w:p w14:paraId="469FBF6D" w14:textId="77777777" w:rsidR="00F05B91" w:rsidRPr="00561AA9" w:rsidRDefault="00F05B91" w:rsidP="00561AA9">
      <w:pPr>
        <w:spacing w:before="240" w:after="240"/>
        <w:jc w:val="left"/>
        <w:rPr>
          <w:lang w:val="es-ES"/>
        </w:rPr>
      </w:pPr>
      <w:r w:rsidRPr="00561AA9">
        <w:rPr>
          <w:b/>
          <w:bCs/>
          <w:lang w:val="es-ES"/>
        </w:rPr>
        <w:t xml:space="preserve">Recordando </w:t>
      </w:r>
      <w:r w:rsidRPr="00561AA9">
        <w:rPr>
          <w:lang w:val="es-ES"/>
        </w:rPr>
        <w:t xml:space="preserve">la </w:t>
      </w:r>
      <w:hyperlink r:id="rId18" w:anchor="page=131" w:history="1">
        <w:r w:rsidRPr="00561AA9">
          <w:rPr>
            <w:rStyle w:val="Hyperlink"/>
            <w:lang w:val="es-ES"/>
          </w:rPr>
          <w:t>Resolución</w:t>
        </w:r>
        <w:r w:rsidRPr="00561AA9">
          <w:rPr>
            <w:rStyle w:val="Hyperlink"/>
            <w:lang w:val="es-ES"/>
          </w:rPr>
          <w:t xml:space="preserve"> </w:t>
        </w:r>
        <w:r w:rsidRPr="00561AA9">
          <w:rPr>
            <w:rStyle w:val="Hyperlink"/>
            <w:lang w:val="es-ES"/>
          </w:rPr>
          <w:t>33 (Cg-18)</w:t>
        </w:r>
      </w:hyperlink>
      <w:r w:rsidRPr="00561AA9">
        <w:rPr>
          <w:lang w:val="es-ES"/>
        </w:rPr>
        <w:t xml:space="preserve"> — Fomento de los servicios de salud integrados, mediante la cual el Congreso hizo suyas las actividades en materia de calor extremo y salud que se llevarán a cabo por la vía rápida en virtud del Plan Rector de la Organización Mundial de la Salud (OMS) y la Organización Meteorológica Mundial (OMM) en el Ámbito de la Salud, el Medioambiente y el Clima basado en un Enfoque de la Ciencia a los Servicios (2019-2023), y en la cual se fijaron objetivos de colaboración para hacer frente a los riesgos relacionados con los fenómenos meteorológicos extremos,</w:t>
      </w:r>
    </w:p>
    <w:p w14:paraId="797F9954" w14:textId="12D235D8" w:rsidR="00F05B91" w:rsidRPr="00561AA9" w:rsidRDefault="00F05B91" w:rsidP="00561AA9">
      <w:pPr>
        <w:spacing w:before="240" w:after="240"/>
        <w:jc w:val="left"/>
        <w:rPr>
          <w:lang w:val="es-ES"/>
        </w:rPr>
      </w:pPr>
      <w:r w:rsidRPr="00561AA9">
        <w:rPr>
          <w:b/>
          <w:bCs/>
          <w:lang w:val="es-ES"/>
        </w:rPr>
        <w:t>Reafirmando</w:t>
      </w:r>
      <w:r w:rsidRPr="00561AA9">
        <w:rPr>
          <w:lang w:val="es-ES"/>
        </w:rPr>
        <w:t xml:space="preserve"> la </w:t>
      </w:r>
      <w:hyperlink r:id="rId19" w:anchor="page=115" w:history="1">
        <w:r w:rsidRPr="00561AA9">
          <w:rPr>
            <w:rStyle w:val="Hyperlink"/>
            <w:lang w:val="es-ES"/>
          </w:rPr>
          <w:t>Resolución 1</w:t>
        </w:r>
        <w:r w:rsidRPr="00561AA9">
          <w:rPr>
            <w:rStyle w:val="Hyperlink"/>
            <w:lang w:val="es-ES"/>
          </w:rPr>
          <w:t>2</w:t>
        </w:r>
        <w:r w:rsidRPr="00561AA9">
          <w:rPr>
            <w:rStyle w:val="Hyperlink"/>
            <w:lang w:val="es-ES"/>
          </w:rPr>
          <w:t xml:space="preserve"> (SERCOM-1)</w:t>
        </w:r>
      </w:hyperlink>
      <w:r w:rsidRPr="00561AA9">
        <w:rPr>
          <w:lang w:val="es-ES"/>
        </w:rPr>
        <w:t xml:space="preserve"> — Red Mundial de Información sobre el Calor y sus Riesgos para la Salud,</w:t>
      </w:r>
    </w:p>
    <w:p w14:paraId="2F2A1876" w14:textId="056A5C0C" w:rsidR="00F05B91" w:rsidRPr="00561AA9" w:rsidRDefault="00F05B91" w:rsidP="00561AA9">
      <w:pPr>
        <w:spacing w:before="240" w:after="240"/>
        <w:jc w:val="left"/>
        <w:rPr>
          <w:lang w:val="es-ES"/>
        </w:rPr>
      </w:pPr>
      <w:r w:rsidRPr="00561AA9">
        <w:rPr>
          <w:b/>
          <w:bCs/>
          <w:lang w:val="es-ES"/>
        </w:rPr>
        <w:t>Tomando nota</w:t>
      </w:r>
      <w:r w:rsidRPr="00561AA9">
        <w:rPr>
          <w:lang w:val="es-ES"/>
        </w:rPr>
        <w:t xml:space="preserve"> de la </w:t>
      </w:r>
      <w:hyperlink r:id="rId20" w:history="1">
        <w:r w:rsidRPr="00561AA9">
          <w:rPr>
            <w:rStyle w:val="Hyperlink"/>
            <w:lang w:val="es-ES"/>
          </w:rPr>
          <w:t>Recomendaci</w:t>
        </w:r>
        <w:r w:rsidRPr="00561AA9">
          <w:rPr>
            <w:rStyle w:val="Hyperlink"/>
            <w:lang w:val="es-ES"/>
          </w:rPr>
          <w:t>ó</w:t>
        </w:r>
        <w:r w:rsidRPr="00561AA9">
          <w:rPr>
            <w:rStyle w:val="Hyperlink"/>
            <w:lang w:val="es-ES"/>
          </w:rPr>
          <w:t>n 5.10(3) (SERCOM-2)</w:t>
        </w:r>
      </w:hyperlink>
      <w:r w:rsidRPr="00561AA9">
        <w:rPr>
          <w:lang w:val="es-ES"/>
        </w:rPr>
        <w:t xml:space="preserve"> — Plan de Ejecución para Contribuir al Progreso de la Ciencia y los Servicios Integrados en el Ámbito del Clima y la Salud, en la que se pide en particular que se mejore la comprensión, las alertas tempranas y la gestión de los riesgos en cascada relacionados con el clima y acentuados por el calor extremo, </w:t>
      </w:r>
      <w:r w:rsidR="00D70FEA" w:rsidRPr="00561AA9">
        <w:rPr>
          <w:lang w:val="es-ES"/>
        </w:rPr>
        <w:t xml:space="preserve">como </w:t>
      </w:r>
      <w:r w:rsidRPr="00561AA9">
        <w:rPr>
          <w:lang w:val="es-ES"/>
        </w:rPr>
        <w:t>los incendios forestales y los riesgos para la salud asociados a la calidad del aire en las zonas urbanas,</w:t>
      </w:r>
    </w:p>
    <w:p w14:paraId="7CF944E6" w14:textId="59ACAD5C" w:rsidR="00F05B91" w:rsidRPr="00561AA9" w:rsidRDefault="00F05B91" w:rsidP="00561AA9">
      <w:pPr>
        <w:spacing w:before="240" w:after="240"/>
        <w:jc w:val="left"/>
        <w:rPr>
          <w:lang w:val="es-ES"/>
        </w:rPr>
      </w:pPr>
      <w:r w:rsidRPr="00561AA9">
        <w:rPr>
          <w:b/>
          <w:bCs/>
          <w:lang w:val="es-ES"/>
        </w:rPr>
        <w:t xml:space="preserve">Solicita </w:t>
      </w:r>
      <w:r w:rsidRPr="00561AA9">
        <w:rPr>
          <w:lang w:val="es-ES"/>
        </w:rPr>
        <w:t>al Secretario General que adopte las medidas oportunas a fin de determinar las necesidades y las oportunidades en cuanto a la mejora de la coordinación de la ciencia y los servicios relacionados con el calor extremo en todos los órganos, programas e iniciativas pertinentes de la OMM, entre ellos, el Programa Mundial de Investigación Meteorológica (PMIM), el Programa Mundial de Investigaciones Climáticas (PMIC), el Proyecto de Investigación de la Vigilancia de la Atmósfera Global (VAG) sobre Meteorología y Medioambiente Urbanos (GURME), el Sistema Mundial de Alerta de Peligros Múltiples (GMAS), el Programa de Gestión Integrada de Sequías (IDMP), el Sistema de Información de Servicios Climáticos (CSIS) del Marco Mundial para los Servicios Climáticos</w:t>
      </w:r>
      <w:r w:rsidR="00561AA9" w:rsidRPr="00561AA9">
        <w:rPr>
          <w:lang w:val="es-ES"/>
        </w:rPr>
        <w:t xml:space="preserve"> (MMSC)</w:t>
      </w:r>
      <w:r w:rsidRPr="00561AA9">
        <w:rPr>
          <w:lang w:val="es-ES"/>
        </w:rPr>
        <w:t>, el Sistema Mundial de Proceso de Datos y de Predicción (GDPFS) y la Iniciativa de Riesgo Climático y Sistemas de Alerta Temprana (CREWS), con el objetivo de elaborar una hoja de ruta que permita optimizar la gestión de los riesgos derivados del calor extremo</w:t>
      </w:r>
      <w:r w:rsidR="00561AA9" w:rsidRPr="00561AA9">
        <w:rPr>
          <w:lang w:val="es-ES"/>
        </w:rPr>
        <w:t>;</w:t>
      </w:r>
    </w:p>
    <w:p w14:paraId="01D52A30" w14:textId="129589F2" w:rsidR="00F05B91" w:rsidRPr="00561AA9" w:rsidRDefault="00F05B91" w:rsidP="00561AA9">
      <w:pPr>
        <w:spacing w:before="240" w:after="240"/>
        <w:jc w:val="left"/>
        <w:rPr>
          <w:lang w:val="es-ES"/>
        </w:rPr>
      </w:pPr>
      <w:r w:rsidRPr="00561AA9">
        <w:rPr>
          <w:b/>
          <w:bCs/>
          <w:lang w:val="es-ES"/>
        </w:rPr>
        <w:t xml:space="preserve">Aprueba </w:t>
      </w:r>
      <w:r w:rsidRPr="00561AA9">
        <w:rPr>
          <w:lang w:val="es-ES"/>
        </w:rPr>
        <w:t>que la OMM copatrocine la Red Mundial de Información sobre el Calor y sus Riesgos para la Salud (GHHIN) como mecanismo de ejecución para la creación de capacidad y el suministro conjunto de información científica y servicios integrados en materia de clima y salud, en colaboración con la OMS y la Oficina Nacional de Administración Oceánica y Atmosférica (NOAA), durante el período 2022-2027, teniendo en cuenta los recursos extrapresupuestarios disponibles durante el período indicado</w:t>
      </w:r>
      <w:r w:rsidR="00561AA9" w:rsidRPr="00561AA9">
        <w:rPr>
          <w:lang w:val="es-ES"/>
        </w:rPr>
        <w:t>;</w:t>
      </w:r>
    </w:p>
    <w:p w14:paraId="69C02603" w14:textId="77777777" w:rsidR="00F05B91" w:rsidRPr="00561AA9" w:rsidRDefault="00F05B91" w:rsidP="00561AA9">
      <w:pPr>
        <w:spacing w:before="240" w:after="240"/>
        <w:jc w:val="left"/>
        <w:rPr>
          <w:lang w:val="es-ES"/>
        </w:rPr>
      </w:pPr>
      <w:r w:rsidRPr="00561AA9">
        <w:rPr>
          <w:b/>
          <w:bCs/>
          <w:lang w:val="es-ES"/>
        </w:rPr>
        <w:t xml:space="preserve">Alienta </w:t>
      </w:r>
      <w:r w:rsidRPr="00561AA9">
        <w:rPr>
          <w:lang w:val="es-ES"/>
        </w:rPr>
        <w:t>a los Miembros a mejorar la coordinación con las autoridades competentes y del ámbito de la salud para diseñar sistemas integrados de alerta temprana de episodios de calor y sus riesgos para la salud, avisos que tengan en cuenta los impactos y planes que aborden los riesgos del calor en todas las escalas temporales y permitan monitorear la mortalidad y los efectos asociados al calor.</w:t>
      </w:r>
    </w:p>
    <w:p w14:paraId="0B7F323D" w14:textId="6B8F462D" w:rsidR="00F05B91" w:rsidRPr="00561AA9" w:rsidRDefault="00561AA9" w:rsidP="00561AA9">
      <w:pPr>
        <w:rPr>
          <w:rFonts w:eastAsia="Verdana" w:cs="Verdana"/>
          <w:lang w:val="es-ES"/>
        </w:rPr>
      </w:pPr>
      <w:r w:rsidRPr="00561AA9">
        <w:rPr>
          <w:lang w:val="es-ES"/>
        </w:rPr>
        <w:t>V</w:t>
      </w:r>
      <w:r w:rsidR="00F05B91" w:rsidRPr="00561AA9">
        <w:rPr>
          <w:lang w:val="es-ES"/>
        </w:rPr>
        <w:t xml:space="preserve">éase el documento </w:t>
      </w:r>
      <w:hyperlink r:id="rId21" w:history="1">
        <w:r w:rsidR="00F05B91" w:rsidRPr="00561AA9">
          <w:rPr>
            <w:rStyle w:val="Hyperlink"/>
            <w:lang w:val="es-ES"/>
          </w:rPr>
          <w:t>SERCOM-</w:t>
        </w:r>
        <w:r w:rsidR="00F05B91" w:rsidRPr="00561AA9">
          <w:rPr>
            <w:rStyle w:val="Hyperlink"/>
            <w:lang w:val="es-ES"/>
          </w:rPr>
          <w:t>2</w:t>
        </w:r>
        <w:r w:rsidR="00F05B91" w:rsidRPr="00561AA9">
          <w:rPr>
            <w:rStyle w:val="Hyperlink"/>
            <w:lang w:val="es-ES"/>
          </w:rPr>
          <w:t>/INF. 5.10(1b)</w:t>
        </w:r>
      </w:hyperlink>
      <w:r w:rsidR="00F05B91" w:rsidRPr="00561AA9">
        <w:rPr>
          <w:lang w:val="es-ES"/>
        </w:rPr>
        <w:t xml:space="preserve"> — Orientación Operativa sobre la Red Mundial de Información sobre el Calor y sus Riesgos para la Salud</w:t>
      </w:r>
      <w:bookmarkStart w:id="2" w:name="_Toc319327010"/>
      <w:bookmarkStart w:id="3" w:name="Text6"/>
      <w:bookmarkEnd w:id="2"/>
      <w:bookmarkEnd w:id="3"/>
      <w:r w:rsidRPr="00561AA9">
        <w:rPr>
          <w:lang w:val="es-ES"/>
        </w:rPr>
        <w:t xml:space="preserve">, para </w:t>
      </w:r>
      <w:bookmarkStart w:id="4" w:name="_GoBack"/>
      <w:bookmarkEnd w:id="4"/>
      <w:r w:rsidRPr="00561AA9">
        <w:rPr>
          <w:lang w:val="es-ES"/>
        </w:rPr>
        <w:t>obtener más información</w:t>
      </w:r>
      <w:r w:rsidR="00F05B91" w:rsidRPr="00561AA9">
        <w:rPr>
          <w:lang w:val="es-ES"/>
        </w:rPr>
        <w:t>.</w:t>
      </w:r>
    </w:p>
    <w:sectPr w:rsidR="00F05B91" w:rsidRPr="00561AA9" w:rsidSect="0020095E">
      <w:headerReference w:type="default" r:id="rId22"/>
      <w:headerReference w:type="first" r:id="rId23"/>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F70C1" w14:textId="77777777" w:rsidR="00F05B91" w:rsidRDefault="00F05B91">
      <w:r>
        <w:separator/>
      </w:r>
    </w:p>
    <w:p w14:paraId="49756CF6" w14:textId="77777777" w:rsidR="00F05B91" w:rsidRDefault="00F05B91"/>
    <w:p w14:paraId="38E1F2D5" w14:textId="77777777" w:rsidR="00F05B91" w:rsidRDefault="00F05B91"/>
  </w:endnote>
  <w:endnote w:type="continuationSeparator" w:id="0">
    <w:p w14:paraId="25F59109" w14:textId="77777777" w:rsidR="00F05B91" w:rsidRDefault="00F05B91">
      <w:r>
        <w:continuationSeparator/>
      </w:r>
    </w:p>
    <w:p w14:paraId="58C9D29F" w14:textId="77777777" w:rsidR="00F05B91" w:rsidRDefault="00F05B91"/>
    <w:p w14:paraId="51A1FB1F" w14:textId="77777777" w:rsidR="00F05B91" w:rsidRDefault="00F05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0D8A1" w14:textId="77777777" w:rsidR="00F05B91" w:rsidRDefault="00F05B91">
      <w:r>
        <w:separator/>
      </w:r>
    </w:p>
  </w:footnote>
  <w:footnote w:type="continuationSeparator" w:id="0">
    <w:p w14:paraId="43443BF2" w14:textId="77777777" w:rsidR="00F05B91" w:rsidRDefault="00F05B91">
      <w:r>
        <w:continuationSeparator/>
      </w:r>
    </w:p>
    <w:p w14:paraId="2BBC7A06" w14:textId="77777777" w:rsidR="00F05B91" w:rsidRDefault="00F05B91"/>
    <w:p w14:paraId="78A1FA1D" w14:textId="77777777" w:rsidR="00F05B91" w:rsidRDefault="00F05B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017A5" w14:textId="542B122B" w:rsidR="003C5AB0" w:rsidRDefault="003C5AB0" w:rsidP="007A7971">
    <w:pPr>
      <w:pStyle w:val="Header"/>
    </w:pPr>
    <w:r>
      <w:t>EC-7</w:t>
    </w:r>
    <w:r w:rsidR="00581CFE">
      <w:t>6</w:t>
    </w:r>
    <w:r>
      <w:t xml:space="preserve">/Doc. </w:t>
    </w:r>
    <w:r w:rsidR="00F05B91">
      <w:t>3.1(16)</w:t>
    </w:r>
    <w:r w:rsidRPr="00C2459D">
      <w:t xml:space="preserve">, </w:t>
    </w:r>
    <w:r>
      <w:t>VERSIÓN 1</w:t>
    </w:r>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5F3D7" w14:textId="77777777" w:rsidR="003C5AB0" w:rsidRDefault="003C5AB0"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3DDAEAE"/>
    <w:multiLevelType w:val="hybridMultilevel"/>
    <w:tmpl w:val="4030D636"/>
    <w:lvl w:ilvl="0" w:tplc="65862B78">
      <w:start w:val="1"/>
      <w:numFmt w:val="decimal"/>
      <w:lvlText w:val="%1."/>
      <w:lvlJc w:val="left"/>
      <w:pPr>
        <w:ind w:left="720" w:hanging="360"/>
      </w:pPr>
    </w:lvl>
    <w:lvl w:ilvl="1" w:tplc="F5123BA8">
      <w:start w:val="1"/>
      <w:numFmt w:val="lowerLetter"/>
      <w:lvlText w:val="%2."/>
      <w:lvlJc w:val="left"/>
      <w:pPr>
        <w:ind w:left="1440" w:hanging="360"/>
      </w:pPr>
    </w:lvl>
    <w:lvl w:ilvl="2" w:tplc="17D6F31A">
      <w:start w:val="1"/>
      <w:numFmt w:val="lowerRoman"/>
      <w:lvlText w:val="%3."/>
      <w:lvlJc w:val="right"/>
      <w:pPr>
        <w:ind w:left="2160" w:hanging="180"/>
      </w:pPr>
    </w:lvl>
    <w:lvl w:ilvl="3" w:tplc="D3DC4B14">
      <w:start w:val="1"/>
      <w:numFmt w:val="decimal"/>
      <w:lvlText w:val="%4."/>
      <w:lvlJc w:val="left"/>
      <w:pPr>
        <w:ind w:left="2880" w:hanging="360"/>
      </w:pPr>
    </w:lvl>
    <w:lvl w:ilvl="4" w:tplc="B7360976">
      <w:start w:val="1"/>
      <w:numFmt w:val="lowerLetter"/>
      <w:lvlText w:val="%5."/>
      <w:lvlJc w:val="left"/>
      <w:pPr>
        <w:ind w:left="3600" w:hanging="360"/>
      </w:pPr>
    </w:lvl>
    <w:lvl w:ilvl="5" w:tplc="49D8457E">
      <w:start w:val="1"/>
      <w:numFmt w:val="lowerRoman"/>
      <w:lvlText w:val="%6."/>
      <w:lvlJc w:val="right"/>
      <w:pPr>
        <w:ind w:left="4320" w:hanging="180"/>
      </w:pPr>
    </w:lvl>
    <w:lvl w:ilvl="6" w:tplc="84146418">
      <w:start w:val="1"/>
      <w:numFmt w:val="decimal"/>
      <w:lvlText w:val="%7."/>
      <w:lvlJc w:val="left"/>
      <w:pPr>
        <w:ind w:left="5040" w:hanging="360"/>
      </w:pPr>
    </w:lvl>
    <w:lvl w:ilvl="7" w:tplc="414ED960">
      <w:start w:val="1"/>
      <w:numFmt w:val="lowerLetter"/>
      <w:lvlText w:val="%8."/>
      <w:lvlJc w:val="left"/>
      <w:pPr>
        <w:ind w:left="5760" w:hanging="360"/>
      </w:pPr>
    </w:lvl>
    <w:lvl w:ilvl="8" w:tplc="B874CF48">
      <w:start w:val="1"/>
      <w:numFmt w:val="lowerRoman"/>
      <w:lvlText w:val="%9."/>
      <w:lvlJc w:val="right"/>
      <w:pPr>
        <w:ind w:left="6480" w:hanging="180"/>
      </w:pPr>
    </w:lvl>
  </w:abstractNum>
  <w:abstractNum w:abstractNumId="16"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2"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4"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7"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0"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45"/>
  </w:num>
  <w:num w:numId="3">
    <w:abstractNumId w:val="28"/>
  </w:num>
  <w:num w:numId="4">
    <w:abstractNumId w:val="37"/>
  </w:num>
  <w:num w:numId="5">
    <w:abstractNumId w:val="18"/>
  </w:num>
  <w:num w:numId="6">
    <w:abstractNumId w:val="23"/>
  </w:num>
  <w:num w:numId="7">
    <w:abstractNumId w:val="19"/>
  </w:num>
  <w:num w:numId="8">
    <w:abstractNumId w:val="31"/>
  </w:num>
  <w:num w:numId="9">
    <w:abstractNumId w:val="22"/>
  </w:num>
  <w:num w:numId="10">
    <w:abstractNumId w:val="21"/>
  </w:num>
  <w:num w:numId="11">
    <w:abstractNumId w:val="36"/>
  </w:num>
  <w:num w:numId="12">
    <w:abstractNumId w:val="11"/>
  </w:num>
  <w:num w:numId="13">
    <w:abstractNumId w:val="26"/>
  </w:num>
  <w:num w:numId="14">
    <w:abstractNumId w:val="41"/>
  </w:num>
  <w:num w:numId="15">
    <w:abstractNumId w:val="2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43"/>
  </w:num>
  <w:num w:numId="27">
    <w:abstractNumId w:val="32"/>
  </w:num>
  <w:num w:numId="28">
    <w:abstractNumId w:val="24"/>
  </w:num>
  <w:num w:numId="29">
    <w:abstractNumId w:val="33"/>
  </w:num>
  <w:num w:numId="30">
    <w:abstractNumId w:val="34"/>
  </w:num>
  <w:num w:numId="31">
    <w:abstractNumId w:val="14"/>
  </w:num>
  <w:num w:numId="32">
    <w:abstractNumId w:val="40"/>
  </w:num>
  <w:num w:numId="33">
    <w:abstractNumId w:val="38"/>
  </w:num>
  <w:num w:numId="34">
    <w:abstractNumId w:val="25"/>
  </w:num>
  <w:num w:numId="35">
    <w:abstractNumId w:val="27"/>
  </w:num>
  <w:num w:numId="36">
    <w:abstractNumId w:val="44"/>
  </w:num>
  <w:num w:numId="37">
    <w:abstractNumId w:val="35"/>
  </w:num>
  <w:num w:numId="38">
    <w:abstractNumId w:val="12"/>
  </w:num>
  <w:num w:numId="39">
    <w:abstractNumId w:val="13"/>
  </w:num>
  <w:num w:numId="40">
    <w:abstractNumId w:val="16"/>
  </w:num>
  <w:num w:numId="41">
    <w:abstractNumId w:val="10"/>
  </w:num>
  <w:num w:numId="42">
    <w:abstractNumId w:val="42"/>
  </w:num>
  <w:num w:numId="43">
    <w:abstractNumId w:val="17"/>
  </w:num>
  <w:num w:numId="44">
    <w:abstractNumId w:val="29"/>
  </w:num>
  <w:num w:numId="45">
    <w:abstractNumId w:val="39"/>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91"/>
    <w:rsid w:val="00001E4F"/>
    <w:rsid w:val="00011B46"/>
    <w:rsid w:val="000206A8"/>
    <w:rsid w:val="0003137A"/>
    <w:rsid w:val="00041171"/>
    <w:rsid w:val="00041727"/>
    <w:rsid w:val="0004226F"/>
    <w:rsid w:val="00050F8E"/>
    <w:rsid w:val="000573AD"/>
    <w:rsid w:val="00064F6B"/>
    <w:rsid w:val="00072F17"/>
    <w:rsid w:val="000806D8"/>
    <w:rsid w:val="00082C80"/>
    <w:rsid w:val="00083847"/>
    <w:rsid w:val="00083C36"/>
    <w:rsid w:val="00095E48"/>
    <w:rsid w:val="000A08BB"/>
    <w:rsid w:val="000A69BF"/>
    <w:rsid w:val="000C225A"/>
    <w:rsid w:val="000C6781"/>
    <w:rsid w:val="000F5E49"/>
    <w:rsid w:val="000F7A87"/>
    <w:rsid w:val="00105D2E"/>
    <w:rsid w:val="00111BFD"/>
    <w:rsid w:val="0011498B"/>
    <w:rsid w:val="00120147"/>
    <w:rsid w:val="00123140"/>
    <w:rsid w:val="00123D94"/>
    <w:rsid w:val="001527A3"/>
    <w:rsid w:val="00156F9B"/>
    <w:rsid w:val="00157949"/>
    <w:rsid w:val="00163BA3"/>
    <w:rsid w:val="00166B31"/>
    <w:rsid w:val="00180771"/>
    <w:rsid w:val="00184203"/>
    <w:rsid w:val="001930A3"/>
    <w:rsid w:val="00196EB8"/>
    <w:rsid w:val="001A0388"/>
    <w:rsid w:val="001A341E"/>
    <w:rsid w:val="001A3E52"/>
    <w:rsid w:val="001B0EA6"/>
    <w:rsid w:val="001B198E"/>
    <w:rsid w:val="001B1CDF"/>
    <w:rsid w:val="001B56F4"/>
    <w:rsid w:val="001C5462"/>
    <w:rsid w:val="001D265C"/>
    <w:rsid w:val="001D3062"/>
    <w:rsid w:val="001D3CFB"/>
    <w:rsid w:val="001D559B"/>
    <w:rsid w:val="001D6302"/>
    <w:rsid w:val="001E740C"/>
    <w:rsid w:val="001E7DD0"/>
    <w:rsid w:val="001F1BDA"/>
    <w:rsid w:val="0020095E"/>
    <w:rsid w:val="00210D30"/>
    <w:rsid w:val="002204FD"/>
    <w:rsid w:val="002308B5"/>
    <w:rsid w:val="00234A34"/>
    <w:rsid w:val="0024027B"/>
    <w:rsid w:val="0025128E"/>
    <w:rsid w:val="0025255D"/>
    <w:rsid w:val="00255519"/>
    <w:rsid w:val="00255EE3"/>
    <w:rsid w:val="00266262"/>
    <w:rsid w:val="00270480"/>
    <w:rsid w:val="002779AF"/>
    <w:rsid w:val="002823D8"/>
    <w:rsid w:val="0028531A"/>
    <w:rsid w:val="00285446"/>
    <w:rsid w:val="00295593"/>
    <w:rsid w:val="002A354F"/>
    <w:rsid w:val="002A386C"/>
    <w:rsid w:val="002B540D"/>
    <w:rsid w:val="002C30BC"/>
    <w:rsid w:val="002C49B1"/>
    <w:rsid w:val="002C5965"/>
    <w:rsid w:val="002C7A88"/>
    <w:rsid w:val="002D232B"/>
    <w:rsid w:val="002D2759"/>
    <w:rsid w:val="002D5E00"/>
    <w:rsid w:val="002D6DAC"/>
    <w:rsid w:val="002E261D"/>
    <w:rsid w:val="002E3FAD"/>
    <w:rsid w:val="002E4E16"/>
    <w:rsid w:val="002F3545"/>
    <w:rsid w:val="002F6DAC"/>
    <w:rsid w:val="00301E8C"/>
    <w:rsid w:val="003027F9"/>
    <w:rsid w:val="00314D5D"/>
    <w:rsid w:val="00320009"/>
    <w:rsid w:val="0032424A"/>
    <w:rsid w:val="003245D3"/>
    <w:rsid w:val="00330AA3"/>
    <w:rsid w:val="00334987"/>
    <w:rsid w:val="00342E34"/>
    <w:rsid w:val="00344F8D"/>
    <w:rsid w:val="00371CF1"/>
    <w:rsid w:val="0037265A"/>
    <w:rsid w:val="003750C1"/>
    <w:rsid w:val="00380AF7"/>
    <w:rsid w:val="00383F53"/>
    <w:rsid w:val="00394A05"/>
    <w:rsid w:val="00397770"/>
    <w:rsid w:val="00397880"/>
    <w:rsid w:val="003A3C12"/>
    <w:rsid w:val="003A7016"/>
    <w:rsid w:val="003C17A5"/>
    <w:rsid w:val="003C5AB0"/>
    <w:rsid w:val="003D1552"/>
    <w:rsid w:val="003D5A17"/>
    <w:rsid w:val="003E4046"/>
    <w:rsid w:val="003F003A"/>
    <w:rsid w:val="003F125B"/>
    <w:rsid w:val="003F7B3F"/>
    <w:rsid w:val="00402F84"/>
    <w:rsid w:val="0041078D"/>
    <w:rsid w:val="00416F97"/>
    <w:rsid w:val="0043039B"/>
    <w:rsid w:val="004423FE"/>
    <w:rsid w:val="00445C35"/>
    <w:rsid w:val="00447D93"/>
    <w:rsid w:val="0045663A"/>
    <w:rsid w:val="0046344E"/>
    <w:rsid w:val="004667E7"/>
    <w:rsid w:val="00475797"/>
    <w:rsid w:val="0049253B"/>
    <w:rsid w:val="004A140B"/>
    <w:rsid w:val="004A6403"/>
    <w:rsid w:val="004B7BAA"/>
    <w:rsid w:val="004C2DF7"/>
    <w:rsid w:val="004C4E0B"/>
    <w:rsid w:val="004D497E"/>
    <w:rsid w:val="004E4809"/>
    <w:rsid w:val="004E5985"/>
    <w:rsid w:val="004E6352"/>
    <w:rsid w:val="004E6460"/>
    <w:rsid w:val="004F6B46"/>
    <w:rsid w:val="0050607D"/>
    <w:rsid w:val="00511999"/>
    <w:rsid w:val="00514EAC"/>
    <w:rsid w:val="00521EA5"/>
    <w:rsid w:val="00523DCC"/>
    <w:rsid w:val="00525B80"/>
    <w:rsid w:val="00527225"/>
    <w:rsid w:val="0053098F"/>
    <w:rsid w:val="00536B2E"/>
    <w:rsid w:val="00546D8E"/>
    <w:rsid w:val="00553738"/>
    <w:rsid w:val="00561AA9"/>
    <w:rsid w:val="00571AE1"/>
    <w:rsid w:val="00581CFE"/>
    <w:rsid w:val="00585ED5"/>
    <w:rsid w:val="00592267"/>
    <w:rsid w:val="0059421F"/>
    <w:rsid w:val="00596CF0"/>
    <w:rsid w:val="00597FC0"/>
    <w:rsid w:val="005A24CE"/>
    <w:rsid w:val="005B0AE2"/>
    <w:rsid w:val="005B1F2C"/>
    <w:rsid w:val="005B5F3C"/>
    <w:rsid w:val="005D03D9"/>
    <w:rsid w:val="005D1EE8"/>
    <w:rsid w:val="005D56AE"/>
    <w:rsid w:val="005D666D"/>
    <w:rsid w:val="005E3A59"/>
    <w:rsid w:val="00604802"/>
    <w:rsid w:val="00615AB0"/>
    <w:rsid w:val="0061778C"/>
    <w:rsid w:val="00633FDB"/>
    <w:rsid w:val="00636B90"/>
    <w:rsid w:val="006449B2"/>
    <w:rsid w:val="0064738B"/>
    <w:rsid w:val="006508EA"/>
    <w:rsid w:val="00667E86"/>
    <w:rsid w:val="0068392D"/>
    <w:rsid w:val="00697DB5"/>
    <w:rsid w:val="006A1B33"/>
    <w:rsid w:val="006A492A"/>
    <w:rsid w:val="006B5C72"/>
    <w:rsid w:val="006D0310"/>
    <w:rsid w:val="006D2009"/>
    <w:rsid w:val="006D5576"/>
    <w:rsid w:val="006E766D"/>
    <w:rsid w:val="006F4B29"/>
    <w:rsid w:val="006F6CE9"/>
    <w:rsid w:val="0070517C"/>
    <w:rsid w:val="00705C9F"/>
    <w:rsid w:val="00716951"/>
    <w:rsid w:val="00720F6B"/>
    <w:rsid w:val="00735D9E"/>
    <w:rsid w:val="00745A09"/>
    <w:rsid w:val="00751EAF"/>
    <w:rsid w:val="00754CF7"/>
    <w:rsid w:val="00757B0D"/>
    <w:rsid w:val="00761320"/>
    <w:rsid w:val="0076135A"/>
    <w:rsid w:val="007651B1"/>
    <w:rsid w:val="00771A68"/>
    <w:rsid w:val="007744D2"/>
    <w:rsid w:val="00786136"/>
    <w:rsid w:val="007949B2"/>
    <w:rsid w:val="007A7971"/>
    <w:rsid w:val="007C212A"/>
    <w:rsid w:val="007E7D21"/>
    <w:rsid w:val="007F482F"/>
    <w:rsid w:val="007F7C94"/>
    <w:rsid w:val="0080398D"/>
    <w:rsid w:val="00806385"/>
    <w:rsid w:val="00807CC5"/>
    <w:rsid w:val="00814CC6"/>
    <w:rsid w:val="00831751"/>
    <w:rsid w:val="00833369"/>
    <w:rsid w:val="00835B42"/>
    <w:rsid w:val="00842A4E"/>
    <w:rsid w:val="008451AA"/>
    <w:rsid w:val="00847D99"/>
    <w:rsid w:val="0085038E"/>
    <w:rsid w:val="008536F5"/>
    <w:rsid w:val="0086271D"/>
    <w:rsid w:val="0086420B"/>
    <w:rsid w:val="00864DBF"/>
    <w:rsid w:val="00865AE2"/>
    <w:rsid w:val="0089601F"/>
    <w:rsid w:val="008A7313"/>
    <w:rsid w:val="008A7D91"/>
    <w:rsid w:val="008B7FC7"/>
    <w:rsid w:val="008C4337"/>
    <w:rsid w:val="008C4F06"/>
    <w:rsid w:val="008E1E4A"/>
    <w:rsid w:val="008E65CF"/>
    <w:rsid w:val="008F0615"/>
    <w:rsid w:val="008F0626"/>
    <w:rsid w:val="008F103E"/>
    <w:rsid w:val="008F1FDB"/>
    <w:rsid w:val="008F36FB"/>
    <w:rsid w:val="008F58B2"/>
    <w:rsid w:val="0090427F"/>
    <w:rsid w:val="00920506"/>
    <w:rsid w:val="00931DEB"/>
    <w:rsid w:val="00933957"/>
    <w:rsid w:val="00950605"/>
    <w:rsid w:val="00952233"/>
    <w:rsid w:val="00954D66"/>
    <w:rsid w:val="009559E0"/>
    <w:rsid w:val="00963F8F"/>
    <w:rsid w:val="00973C62"/>
    <w:rsid w:val="00975D76"/>
    <w:rsid w:val="00982E51"/>
    <w:rsid w:val="009874B9"/>
    <w:rsid w:val="00993581"/>
    <w:rsid w:val="009A288C"/>
    <w:rsid w:val="009A2EC3"/>
    <w:rsid w:val="009A64C1"/>
    <w:rsid w:val="009B6697"/>
    <w:rsid w:val="009C2EA4"/>
    <w:rsid w:val="009C4C04"/>
    <w:rsid w:val="009E2BBD"/>
    <w:rsid w:val="009F7566"/>
    <w:rsid w:val="00A06BFE"/>
    <w:rsid w:val="00A10F5D"/>
    <w:rsid w:val="00A1243C"/>
    <w:rsid w:val="00A135AE"/>
    <w:rsid w:val="00A14AF1"/>
    <w:rsid w:val="00A16891"/>
    <w:rsid w:val="00A268CE"/>
    <w:rsid w:val="00A332E8"/>
    <w:rsid w:val="00A35AF5"/>
    <w:rsid w:val="00A35DDF"/>
    <w:rsid w:val="00A36CBA"/>
    <w:rsid w:val="00A41E35"/>
    <w:rsid w:val="00A45741"/>
    <w:rsid w:val="00A50291"/>
    <w:rsid w:val="00A530E4"/>
    <w:rsid w:val="00A604CD"/>
    <w:rsid w:val="00A60FE6"/>
    <w:rsid w:val="00A622F5"/>
    <w:rsid w:val="00A654BE"/>
    <w:rsid w:val="00A66DD6"/>
    <w:rsid w:val="00A771FD"/>
    <w:rsid w:val="00A874EF"/>
    <w:rsid w:val="00A95415"/>
    <w:rsid w:val="00AA3C89"/>
    <w:rsid w:val="00AA4235"/>
    <w:rsid w:val="00AB32BD"/>
    <w:rsid w:val="00AB4723"/>
    <w:rsid w:val="00AC4CDB"/>
    <w:rsid w:val="00AC70FE"/>
    <w:rsid w:val="00AD33A8"/>
    <w:rsid w:val="00AD4358"/>
    <w:rsid w:val="00AF61E1"/>
    <w:rsid w:val="00AF638A"/>
    <w:rsid w:val="00B00141"/>
    <w:rsid w:val="00B009AA"/>
    <w:rsid w:val="00B01B02"/>
    <w:rsid w:val="00B030C8"/>
    <w:rsid w:val="00B056E7"/>
    <w:rsid w:val="00B05B71"/>
    <w:rsid w:val="00B10035"/>
    <w:rsid w:val="00B15C76"/>
    <w:rsid w:val="00B165E6"/>
    <w:rsid w:val="00B235DB"/>
    <w:rsid w:val="00B31C07"/>
    <w:rsid w:val="00B347B9"/>
    <w:rsid w:val="00B4340B"/>
    <w:rsid w:val="00B447C0"/>
    <w:rsid w:val="00B5229B"/>
    <w:rsid w:val="00B548A2"/>
    <w:rsid w:val="00B56934"/>
    <w:rsid w:val="00B62F03"/>
    <w:rsid w:val="00B72444"/>
    <w:rsid w:val="00B93B62"/>
    <w:rsid w:val="00B953D1"/>
    <w:rsid w:val="00BA30D0"/>
    <w:rsid w:val="00BA6E7D"/>
    <w:rsid w:val="00BB0D32"/>
    <w:rsid w:val="00BB17CC"/>
    <w:rsid w:val="00BC6F2F"/>
    <w:rsid w:val="00BC76B5"/>
    <w:rsid w:val="00BD5420"/>
    <w:rsid w:val="00C04BD2"/>
    <w:rsid w:val="00C13EEC"/>
    <w:rsid w:val="00C14689"/>
    <w:rsid w:val="00C156A4"/>
    <w:rsid w:val="00C20FAA"/>
    <w:rsid w:val="00C2459D"/>
    <w:rsid w:val="00C316F1"/>
    <w:rsid w:val="00C42C95"/>
    <w:rsid w:val="00C4470F"/>
    <w:rsid w:val="00C55E5B"/>
    <w:rsid w:val="00C57D64"/>
    <w:rsid w:val="00C62739"/>
    <w:rsid w:val="00C720A4"/>
    <w:rsid w:val="00C7611C"/>
    <w:rsid w:val="00C94097"/>
    <w:rsid w:val="00C97BD7"/>
    <w:rsid w:val="00CA4269"/>
    <w:rsid w:val="00CA7330"/>
    <w:rsid w:val="00CB1C84"/>
    <w:rsid w:val="00CB64F0"/>
    <w:rsid w:val="00CC2909"/>
    <w:rsid w:val="00CD0549"/>
    <w:rsid w:val="00CD536B"/>
    <w:rsid w:val="00CF40BF"/>
    <w:rsid w:val="00D05E6F"/>
    <w:rsid w:val="00D14624"/>
    <w:rsid w:val="00D24F2A"/>
    <w:rsid w:val="00D27929"/>
    <w:rsid w:val="00D33442"/>
    <w:rsid w:val="00D44BAD"/>
    <w:rsid w:val="00D45B55"/>
    <w:rsid w:val="00D7097B"/>
    <w:rsid w:val="00D70FEA"/>
    <w:rsid w:val="00D91DFA"/>
    <w:rsid w:val="00DA159A"/>
    <w:rsid w:val="00DA4CFF"/>
    <w:rsid w:val="00DB1AB2"/>
    <w:rsid w:val="00DC4FDF"/>
    <w:rsid w:val="00DC66F0"/>
    <w:rsid w:val="00DD2F0E"/>
    <w:rsid w:val="00DD3A65"/>
    <w:rsid w:val="00DD62C6"/>
    <w:rsid w:val="00DE7137"/>
    <w:rsid w:val="00E00498"/>
    <w:rsid w:val="00E14ADB"/>
    <w:rsid w:val="00E2617A"/>
    <w:rsid w:val="00E31CD4"/>
    <w:rsid w:val="00E47778"/>
    <w:rsid w:val="00E538E6"/>
    <w:rsid w:val="00E802A2"/>
    <w:rsid w:val="00E85C0B"/>
    <w:rsid w:val="00EB13D7"/>
    <w:rsid w:val="00EB1E83"/>
    <w:rsid w:val="00EC7CF5"/>
    <w:rsid w:val="00ED22CB"/>
    <w:rsid w:val="00ED67AF"/>
    <w:rsid w:val="00ED709D"/>
    <w:rsid w:val="00EE128C"/>
    <w:rsid w:val="00EE4C48"/>
    <w:rsid w:val="00EF66D9"/>
    <w:rsid w:val="00EF68E3"/>
    <w:rsid w:val="00EF6BA5"/>
    <w:rsid w:val="00EF780D"/>
    <w:rsid w:val="00EF7A98"/>
    <w:rsid w:val="00F0267E"/>
    <w:rsid w:val="00F05B91"/>
    <w:rsid w:val="00F11B47"/>
    <w:rsid w:val="00F25D8D"/>
    <w:rsid w:val="00F44CCB"/>
    <w:rsid w:val="00F474C9"/>
    <w:rsid w:val="00F5126B"/>
    <w:rsid w:val="00F54EA3"/>
    <w:rsid w:val="00F5693C"/>
    <w:rsid w:val="00F61675"/>
    <w:rsid w:val="00F6686B"/>
    <w:rsid w:val="00F67F74"/>
    <w:rsid w:val="00F712B3"/>
    <w:rsid w:val="00F73DE3"/>
    <w:rsid w:val="00F744BF"/>
    <w:rsid w:val="00F77219"/>
    <w:rsid w:val="00F84DD2"/>
    <w:rsid w:val="00FA4ECF"/>
    <w:rsid w:val="00FB0872"/>
    <w:rsid w:val="00FB54CC"/>
    <w:rsid w:val="00FC009F"/>
    <w:rsid w:val="00FC0556"/>
    <w:rsid w:val="00FD1A37"/>
    <w:rsid w:val="00FD4E5B"/>
    <w:rsid w:val="00FE4EE0"/>
    <w:rsid w:val="00FE7F8F"/>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0A7425"/>
  <w15:docId w15:val="{437D449B-5D0D-44E3-A408-01D9488B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011B46"/>
    <w:pPr>
      <w:tabs>
        <w:tab w:val="left" w:pos="1134"/>
      </w:tabs>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011B46"/>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styleId="UnresolvedMention">
    <w:name w:val="Unresolved Mention"/>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 w:type="paragraph" w:styleId="ListParagraph">
    <w:name w:val="List Paragraph"/>
    <w:basedOn w:val="Normal"/>
    <w:uiPriority w:val="34"/>
    <w:qFormat/>
    <w:rsid w:val="00F05B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etings.wmo.int/SERCOM-2/_layouts/15/WopiFrame.aspx?sourcedoc=/SERCOM-2/Spanish/2.%20VERSI%C3%93N%20PROVISIONAL%20DEL%20INFORME%20(Documentos%20aprobados)/SERCOM-2-d05-10(3)-INTEGRATED-HEALTH-SERVICES-approved_es.docx&amp;action=default" TargetMode="External"/><Relationship Id="rId18" Type="http://schemas.openxmlformats.org/officeDocument/2006/relationships/hyperlink" Target="https://library.wmo.int/doc_num.php?explnum_id=9847" TargetMode="External"/><Relationship Id="rId3" Type="http://schemas.openxmlformats.org/officeDocument/2006/relationships/customXml" Target="../customXml/item3.xml"/><Relationship Id="rId21" Type="http://schemas.openxmlformats.org/officeDocument/2006/relationships/hyperlink" Target="https://meetings.wmo.int/SERCOM-2/_layouts/15/WopiFrame.aspx?sourcedoc=/SERCOM-2/InformationDocuments/SERCOM-2-INF05-10(1b)-GUIDANCE-HEAT-HEALTH-INFORMATION-NETWORK_es-MT.docx&amp;action=default" TargetMode="External"/><Relationship Id="rId7" Type="http://schemas.openxmlformats.org/officeDocument/2006/relationships/settings" Target="settings.xml"/><Relationship Id="rId12" Type="http://schemas.openxmlformats.org/officeDocument/2006/relationships/hyperlink" Target="https://library.wmo.int/doc_num.php?explnum_id=10782" TargetMode="External"/><Relationship Id="rId17" Type="http://schemas.openxmlformats.org/officeDocument/2006/relationships/hyperlink" Target="https://ghhin.org/news/south-asia-heat-health-summi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mmunity.wmo.int/meetings/first-global-forum-heat-and-health" TargetMode="External"/><Relationship Id="rId20" Type="http://schemas.openxmlformats.org/officeDocument/2006/relationships/hyperlink" Target="https://meetings.wmo.int/SERCOM-2/_layouts/15/WopiFrame.aspx?sourcedoc=/SERCOM-2/Spanish/2.%20VERSI%C3%93N%20PROVISIONAL%20DEL%20INFORME%20(Documentos%20aprobados)/SERCOM-2-d05-10(3)-INTEGRATED-HEALTH-SERVICES-approved_es.docx&amp;action=defa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ommunity.wmo.int/meetings/1st-south-asia-climate-services-forum-health-csf-health"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library.wmo.int/doc_num.php?explnum_id=1078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o.noaa.gov/News/News-Article/ArtMID/6226/ArticleID/1035/Workshop-on-the-Development-of-Climate-Information-Systems-for-Heat-Health-Early-Warning-Assessing-Knowledge-Needs-and-the-Path-Forward"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ovilar\OneDrive%20-%20WMO\Documents\Edu\Carpeta%20de%20trabajo%20OMM\Plantillas\EC-76-dxx-Template_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FC3D3-2989-4910-A47D-C939A8114E75}"/>
</file>

<file path=customXml/itemProps2.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3.xml><?xml version="1.0" encoding="utf-8"?>
<ds:datastoreItem xmlns:ds="http://schemas.openxmlformats.org/officeDocument/2006/customXml" ds:itemID="{4CE4C997-AFE9-4FD5-8B67-4DD00902483D}">
  <ds:schemaRef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ce21bc6c-711a-4065-a01c-a8f0e29e3ad8"/>
    <ds:schemaRef ds:uri="3679bf0f-1d7e-438f-afa5-6ebf1e20f9b8"/>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13B29EB-5043-4A9E-B3D5-742817BA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EC-76-dxx-Template_es.dotx</Template>
  <TotalTime>91</TotalTime>
  <Pages>4</Pages>
  <Words>1434</Words>
  <Characters>7765</Characters>
  <Application>Microsoft Office Word</Application>
  <DocSecurity>0</DocSecurity>
  <Lines>152</Lines>
  <Paragraphs>40</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9174</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WMO</dc:creator>
  <cp:lastModifiedBy>Elena Vicente</cp:lastModifiedBy>
  <cp:revision>13</cp:revision>
  <cp:lastPrinted>2013-03-12T09:27:00Z</cp:lastPrinted>
  <dcterms:created xsi:type="dcterms:W3CDTF">2023-01-16T14:04:00Z</dcterms:created>
  <dcterms:modified xsi:type="dcterms:W3CDTF">2023-01-17T08:08:00Z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